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jc w:val="center"/>
        <w:rPr>
          <w:rFonts w:hint="eastAsia"/>
          <w:sz w:val="56"/>
          <w:szCs w:val="56"/>
        </w:rPr>
      </w:pPr>
    </w:p>
    <w:p>
      <w:pPr>
        <w:pStyle w:val="9"/>
        <w:jc w:val="center"/>
        <w:rPr>
          <w:sz w:val="56"/>
          <w:szCs w:val="56"/>
        </w:rPr>
      </w:pPr>
    </w:p>
    <w:p>
      <w:pPr>
        <w:pStyle w:val="9"/>
        <w:jc w:val="center"/>
        <w:rPr>
          <w:sz w:val="84"/>
          <w:szCs w:val="84"/>
        </w:rPr>
      </w:pPr>
    </w:p>
    <w:p>
      <w:pPr>
        <w:pStyle w:val="9"/>
        <w:jc w:val="center"/>
        <w:rPr>
          <w:sz w:val="84"/>
          <w:szCs w:val="84"/>
        </w:rPr>
      </w:pPr>
    </w:p>
    <w:p>
      <w:pPr>
        <w:pStyle w:val="9"/>
        <w:jc w:val="center"/>
        <w:rPr>
          <w:sz w:val="84"/>
          <w:szCs w:val="84"/>
        </w:rPr>
      </w:pPr>
      <w:r>
        <w:rPr>
          <w:rFonts w:hint="eastAsia"/>
          <w:sz w:val="84"/>
          <w:szCs w:val="84"/>
        </w:rPr>
        <w:t>2021年度</w:t>
      </w:r>
    </w:p>
    <w:p>
      <w:pPr>
        <w:pStyle w:val="9"/>
        <w:jc w:val="center"/>
        <w:rPr>
          <w:rFonts w:hint="eastAsia"/>
          <w:sz w:val="84"/>
          <w:szCs w:val="84"/>
          <w:lang w:val="en-US" w:eastAsia="zh-CN"/>
        </w:rPr>
      </w:pPr>
      <w:r>
        <w:rPr>
          <w:rFonts w:hint="eastAsia"/>
          <w:sz w:val="84"/>
          <w:szCs w:val="84"/>
          <w:lang w:val="en-US" w:eastAsia="zh-CN"/>
        </w:rPr>
        <w:t>湖南省食用菌研究所</w:t>
      </w:r>
    </w:p>
    <w:p>
      <w:pPr>
        <w:pStyle w:val="9"/>
        <w:jc w:val="center"/>
        <w:rPr>
          <w:sz w:val="84"/>
          <w:szCs w:val="84"/>
        </w:rPr>
      </w:pPr>
      <w:r>
        <w:rPr>
          <w:rFonts w:hint="eastAsia"/>
          <w:sz w:val="84"/>
          <w:szCs w:val="84"/>
        </w:rPr>
        <w:t>部门决算</w:t>
      </w: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56"/>
          <w:szCs w:val="56"/>
        </w:rPr>
      </w:pPr>
    </w:p>
    <w:p>
      <w:pPr>
        <w:pStyle w:val="9"/>
        <w:jc w:val="center"/>
        <w:rPr>
          <w:sz w:val="32"/>
          <w:szCs w:val="32"/>
        </w:rPr>
      </w:pPr>
    </w:p>
    <w:p>
      <w:pPr>
        <w:pStyle w:val="9"/>
        <w:jc w:val="center"/>
        <w:rPr>
          <w:sz w:val="32"/>
          <w:szCs w:val="32"/>
        </w:rPr>
      </w:pPr>
    </w:p>
    <w:p>
      <w:pPr>
        <w:pStyle w:val="9"/>
        <w:jc w:val="center"/>
        <w:rPr>
          <w:sz w:val="32"/>
          <w:szCs w:val="32"/>
        </w:rPr>
      </w:pPr>
    </w:p>
    <w:p>
      <w:pPr>
        <w:pStyle w:val="9"/>
        <w:jc w:val="center"/>
        <w:rPr>
          <w:sz w:val="32"/>
          <w:szCs w:val="32"/>
        </w:rPr>
      </w:pPr>
    </w:p>
    <w:p>
      <w:pPr>
        <w:pStyle w:val="9"/>
        <w:spacing w:line="500" w:lineRule="exact"/>
        <w:jc w:val="both"/>
        <w:rPr>
          <w:b/>
          <w:sz w:val="36"/>
          <w:szCs w:val="28"/>
        </w:rPr>
      </w:pPr>
    </w:p>
    <w:p>
      <w:pPr>
        <w:pStyle w:val="9"/>
        <w:spacing w:line="500" w:lineRule="exact"/>
        <w:jc w:val="center"/>
        <w:rPr>
          <w:b/>
          <w:sz w:val="36"/>
          <w:szCs w:val="28"/>
        </w:rPr>
      </w:pPr>
    </w:p>
    <w:p>
      <w:pPr>
        <w:pStyle w:val="9"/>
        <w:spacing w:line="500" w:lineRule="exact"/>
        <w:jc w:val="center"/>
        <w:rPr>
          <w:b/>
          <w:sz w:val="36"/>
          <w:szCs w:val="28"/>
        </w:rPr>
      </w:pPr>
      <w:r>
        <w:rPr>
          <w:rFonts w:hint="eastAsia"/>
          <w:b/>
          <w:sz w:val="36"/>
          <w:szCs w:val="28"/>
        </w:rPr>
        <w:t>目录</w:t>
      </w:r>
    </w:p>
    <w:p>
      <w:pPr>
        <w:pStyle w:val="9"/>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lang w:val="en-US" w:eastAsia="zh-CN"/>
        </w:rPr>
        <w:t>湖南省食用菌研究所</w:t>
      </w:r>
      <w:r>
        <w:rPr>
          <w:rFonts w:hint="eastAsia"/>
          <w:b/>
          <w:sz w:val="28"/>
          <w:szCs w:val="28"/>
        </w:rPr>
        <w:t>概况</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一、部门职责</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二、机构设置</w:t>
      </w:r>
    </w:p>
    <w:p>
      <w:pPr>
        <w:pStyle w:val="9"/>
        <w:spacing w:line="500" w:lineRule="exact"/>
        <w:rPr>
          <w:rFonts w:ascii="仿宋_GB2312" w:hAnsi="仿宋_GB2312" w:cs="仿宋_GB2312"/>
          <w:b/>
          <w:sz w:val="28"/>
          <w:szCs w:val="28"/>
        </w:rPr>
      </w:pPr>
      <w:r>
        <w:rPr>
          <w:rFonts w:hint="eastAsia" w:hAnsi="仿宋_GB2312"/>
          <w:b/>
          <w:sz w:val="28"/>
          <w:szCs w:val="28"/>
        </w:rPr>
        <w:t>第二部分</w:t>
      </w:r>
      <w:r>
        <w:rPr>
          <w:rFonts w:hAnsi="仿宋_GB2312"/>
          <w:b/>
          <w:sz w:val="28"/>
          <w:szCs w:val="28"/>
        </w:rPr>
        <w:t>20</w:t>
      </w:r>
      <w:r>
        <w:rPr>
          <w:rFonts w:hint="eastAsia" w:hAnsi="仿宋_GB2312"/>
          <w:b/>
          <w:sz w:val="28"/>
          <w:szCs w:val="28"/>
        </w:rPr>
        <w:t>21年度部门决算表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二、收入决算表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三、支出决算表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四、财政拨款收入支出决算总表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五、一般公共预算财政拨款支出决算表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六、一般公共预算财政拨款基本支出决算</w:t>
      </w:r>
      <w:r>
        <w:rPr>
          <w:rFonts w:hint="eastAsia" w:cs="仿宋_GB2312" w:asciiTheme="minorEastAsia" w:hAnsiTheme="minorEastAsia" w:eastAsiaTheme="minorEastAsia"/>
          <w:sz w:val="28"/>
          <w:szCs w:val="28"/>
        </w:rPr>
        <w:t>明细</w:t>
      </w:r>
      <w:r>
        <w:rPr>
          <w:rFonts w:cs="仿宋_GB2312" w:asciiTheme="minorEastAsia" w:hAnsiTheme="minorEastAsia" w:eastAsiaTheme="minorEastAsia"/>
          <w:sz w:val="28"/>
          <w:szCs w:val="28"/>
        </w:rPr>
        <w:t>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七、一般公共预算财政拨款“三公”经费支出决算表</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八、政府性基金预算财政拨款收入支出决算表</w:t>
      </w:r>
    </w:p>
    <w:p>
      <w:pPr>
        <w:pStyle w:val="9"/>
        <w:spacing w:line="500" w:lineRule="exact"/>
        <w:ind w:firstLine="700" w:firstLineChars="250"/>
        <w:rPr>
          <w:rFonts w:cs="仿宋_GB2312" w:asciiTheme="minorEastAsia" w:hAnsiTheme="minorEastAsia" w:eastAsiaTheme="minorEastAsia"/>
          <w:sz w:val="28"/>
          <w:szCs w:val="28"/>
        </w:rPr>
      </w:pPr>
      <w:r>
        <w:rPr>
          <w:rFonts w:hint="eastAsia" w:cs="仿宋_GB2312" w:asciiTheme="minorEastAsia" w:hAnsiTheme="minorEastAsia" w:eastAsiaTheme="minorEastAsia"/>
          <w:sz w:val="28"/>
          <w:szCs w:val="28"/>
        </w:rPr>
        <w:t>九、国有资本经营预算财政拨款支出决算表</w:t>
      </w:r>
    </w:p>
    <w:p>
      <w:pPr>
        <w:pStyle w:val="9"/>
        <w:spacing w:line="500" w:lineRule="exact"/>
        <w:rPr>
          <w:rFonts w:ascii="仿宋_GB2312" w:hAnsi="仿宋_GB2312" w:cs="仿宋_GB2312"/>
          <w:b/>
          <w:sz w:val="28"/>
          <w:szCs w:val="28"/>
        </w:rPr>
      </w:pPr>
      <w:r>
        <w:rPr>
          <w:rFonts w:hint="eastAsia" w:hAnsi="仿宋_GB2312"/>
          <w:b/>
          <w:sz w:val="28"/>
          <w:szCs w:val="28"/>
        </w:rPr>
        <w:t>第三部分</w:t>
      </w:r>
      <w:r>
        <w:rPr>
          <w:rFonts w:hAnsi="仿宋_GB2312"/>
          <w:b/>
          <w:sz w:val="28"/>
          <w:szCs w:val="28"/>
        </w:rPr>
        <w:t>20</w:t>
      </w:r>
      <w:r>
        <w:rPr>
          <w:rFonts w:hint="eastAsia" w:hAnsi="仿宋_GB2312"/>
          <w:b/>
          <w:sz w:val="28"/>
          <w:szCs w:val="28"/>
        </w:rPr>
        <w:t>21年度部门决算情况说明</w:t>
      </w:r>
    </w:p>
    <w:p>
      <w:pPr>
        <w:pStyle w:val="9"/>
        <w:spacing w:line="500" w:lineRule="exact"/>
        <w:ind w:firstLine="700" w:firstLineChars="250"/>
        <w:rPr>
          <w:rFonts w:cs="仿宋_GB2312" w:asciiTheme="minorEastAsia" w:hAnsiTheme="minorEastAsia" w:eastAsiaTheme="minorEastAsia"/>
          <w:sz w:val="28"/>
          <w:szCs w:val="28"/>
        </w:rPr>
      </w:pPr>
      <w:r>
        <w:rPr>
          <w:rFonts w:cs="仿宋_GB2312" w:asciiTheme="minorEastAsia" w:hAnsiTheme="minorEastAsia" w:eastAsiaTheme="minorEastAsia"/>
          <w:sz w:val="28"/>
          <w:szCs w:val="28"/>
        </w:rPr>
        <w:t>一、收入支出决算总体情况说明</w:t>
      </w:r>
    </w:p>
    <w:p>
      <w:pPr>
        <w:spacing w:line="500" w:lineRule="exact"/>
        <w:ind w:firstLine="700" w:firstLineChars="250"/>
        <w:jc w:val="left"/>
        <w:rPr>
          <w:rFonts w:ascii="仿宋_GB2312" w:hAnsi="仿宋_GB2312" w:cs="仿宋_GB2312"/>
          <w:sz w:val="28"/>
          <w:szCs w:val="28"/>
        </w:rPr>
      </w:pPr>
      <w:r>
        <w:rPr>
          <w:rFonts w:ascii="仿宋_GB2312" w:hAnsi="仿宋_GB2312" w:cs="仿宋_GB2312"/>
          <w:sz w:val="28"/>
          <w:szCs w:val="28"/>
        </w:rPr>
        <w:t>二、收入决算情况说明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三公</w:t>
      </w:r>
      <w:r>
        <w:rPr>
          <w:rFonts w:hint="eastAsia" w:ascii="仿宋_GB2312" w:hAnsi="仿宋_GB2312" w:cs="仿宋_GB2312"/>
          <w:color w:val="000000"/>
          <w:kern w:val="0"/>
          <w:sz w:val="28"/>
          <w:szCs w:val="28"/>
        </w:rPr>
        <w:t>”</w:t>
      </w:r>
      <w:r>
        <w:rPr>
          <w:rFonts w:ascii="仿宋_GB2312" w:hAnsi="仿宋_GB2312" w:cs="仿宋_GB2312"/>
          <w:color w:val="000000"/>
          <w:kern w:val="0"/>
          <w:sz w:val="28"/>
          <w:szCs w:val="28"/>
        </w:rPr>
        <w:t>经费支出决算情况说明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八</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政府性基金预算收入支出决算情况</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九</w:t>
      </w:r>
      <w:r>
        <w:rPr>
          <w:rFonts w:ascii="仿宋_GB2312" w:hAnsi="仿宋_GB2312" w:cs="仿宋_GB2312"/>
          <w:color w:val="000000"/>
          <w:kern w:val="0"/>
          <w:sz w:val="28"/>
          <w:szCs w:val="28"/>
        </w:rPr>
        <w:t>、</w:t>
      </w:r>
      <w:r>
        <w:rPr>
          <w:rFonts w:hint="eastAsia" w:ascii="仿宋_GB2312" w:hAnsi="仿宋_GB2312" w:cs="仿宋_GB2312"/>
          <w:color w:val="000000"/>
          <w:kern w:val="0"/>
          <w:sz w:val="28"/>
          <w:szCs w:val="28"/>
        </w:rPr>
        <w:t>机关运行经费支出说明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十、一般性支出情况说明</w:t>
      </w:r>
    </w:p>
    <w:p>
      <w:pPr>
        <w:autoSpaceDE w:val="0"/>
        <w:autoSpaceDN w:val="0"/>
        <w:adjustRightInd w:val="0"/>
        <w:spacing w:line="500" w:lineRule="exact"/>
        <w:ind w:firstLine="700" w:firstLineChars="250"/>
        <w:jc w:val="left"/>
        <w:rPr>
          <w:rFonts w:ascii="仿宋_GB2312" w:hAnsi="仿宋_GB2312" w:cs="仿宋_GB2312"/>
          <w:color w:val="000000"/>
          <w:kern w:val="0"/>
          <w:sz w:val="28"/>
          <w:szCs w:val="28"/>
        </w:rPr>
      </w:pPr>
      <w:r>
        <w:rPr>
          <w:rFonts w:hint="eastAsia" w:ascii="仿宋_GB2312" w:hAnsi="仿宋_GB2312" w:cs="仿宋_GB2312"/>
          <w:color w:val="000000"/>
          <w:kern w:val="0"/>
          <w:sz w:val="28"/>
          <w:szCs w:val="28"/>
        </w:rPr>
        <w:t>十一、政府采购支出说明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十二、国有资产占用情况说明</w:t>
      </w:r>
    </w:p>
    <w:p>
      <w:pPr>
        <w:pStyle w:val="9"/>
        <w:spacing w:line="500" w:lineRule="exact"/>
        <w:ind w:firstLine="700" w:firstLineChars="250"/>
        <w:rPr>
          <w:rFonts w:ascii="仿宋_GB2312" w:hAnsi="仿宋_GB2312" w:cs="仿宋_GB2312" w:eastAsiaTheme="minorEastAsia"/>
          <w:sz w:val="28"/>
          <w:szCs w:val="28"/>
        </w:rPr>
      </w:pPr>
      <w:r>
        <w:rPr>
          <w:rFonts w:hint="eastAsia" w:ascii="仿宋_GB2312" w:hAnsi="仿宋_GB2312" w:cs="仿宋_GB2312" w:eastAsiaTheme="minorEastAsia"/>
          <w:sz w:val="28"/>
          <w:szCs w:val="28"/>
        </w:rPr>
        <w:t>十三、</w:t>
      </w:r>
      <w:r>
        <w:rPr>
          <w:rFonts w:hint="eastAsia" w:cs="仿宋_GB2312" w:asciiTheme="minorEastAsia" w:hAnsiTheme="minorEastAsia" w:eastAsiaTheme="minorEastAsia"/>
          <w:sz w:val="28"/>
          <w:szCs w:val="28"/>
        </w:rPr>
        <w:t>2021年</w:t>
      </w:r>
      <w:r>
        <w:rPr>
          <w:rFonts w:hint="eastAsia" w:ascii="仿宋_GB2312" w:hAnsi="仿宋_GB2312" w:cs="仿宋_GB2312" w:eastAsiaTheme="minorEastAsia"/>
          <w:sz w:val="28"/>
          <w:szCs w:val="28"/>
        </w:rPr>
        <w:t>度预算绩效情况说明</w:t>
      </w:r>
    </w:p>
    <w:p>
      <w:pPr>
        <w:autoSpaceDE w:val="0"/>
        <w:autoSpaceDN w:val="0"/>
        <w:adjustRightInd w:val="0"/>
        <w:spacing w:line="500" w:lineRule="exact"/>
        <w:jc w:val="left"/>
        <w:rPr>
          <w:rFonts w:ascii="黑体" w:hAnsi="黑体" w:eastAsia="黑体" w:cs="黑体"/>
          <w:b/>
          <w:color w:val="000000"/>
          <w:kern w:val="0"/>
          <w:sz w:val="28"/>
          <w:szCs w:val="28"/>
        </w:rPr>
      </w:pPr>
      <w:r>
        <w:rPr>
          <w:rFonts w:ascii="黑体" w:hAnsi="黑体" w:eastAsia="黑体" w:cs="黑体"/>
          <w:b/>
          <w:color w:val="000000"/>
          <w:kern w:val="0"/>
          <w:sz w:val="28"/>
          <w:szCs w:val="28"/>
        </w:rPr>
        <w:t>第四部分名词解释</w:t>
      </w:r>
    </w:p>
    <w:p>
      <w:pPr>
        <w:autoSpaceDE w:val="0"/>
        <w:autoSpaceDN w:val="0"/>
        <w:adjustRightInd w:val="0"/>
        <w:spacing w:line="500" w:lineRule="exact"/>
        <w:jc w:val="left"/>
        <w:rPr>
          <w:rFonts w:ascii="黑体" w:hAnsi="黑体" w:eastAsia="黑体" w:cs="仿宋_GB2312"/>
          <w:b/>
          <w:color w:val="000000"/>
          <w:kern w:val="0"/>
          <w:sz w:val="28"/>
          <w:szCs w:val="28"/>
        </w:rPr>
      </w:pPr>
      <w:r>
        <w:rPr>
          <w:rFonts w:hint="eastAsia" w:ascii="黑体" w:hAnsi="黑体" w:eastAsia="黑体" w:cs="黑体"/>
          <w:b/>
          <w:color w:val="000000"/>
          <w:kern w:val="0"/>
          <w:sz w:val="28"/>
          <w:szCs w:val="28"/>
        </w:rPr>
        <w:t>第五部分附件</w:t>
      </w:r>
    </w:p>
    <w:p>
      <w:pPr>
        <w:jc w:val="center"/>
        <w:rPr>
          <w:sz w:val="72"/>
          <w:szCs w:val="72"/>
        </w:rPr>
      </w:pPr>
    </w:p>
    <w:p>
      <w:pPr>
        <w:jc w:val="center"/>
        <w:rPr>
          <w:sz w:val="72"/>
          <w:szCs w:val="72"/>
        </w:rPr>
      </w:pPr>
    </w:p>
    <w:p>
      <w:pPr>
        <w:jc w:val="both"/>
        <w:rPr>
          <w:sz w:val="72"/>
          <w:szCs w:val="72"/>
        </w:rPr>
      </w:pPr>
    </w:p>
    <w:p>
      <w:pPr>
        <w:rPr>
          <w:sz w:val="72"/>
          <w:szCs w:val="72"/>
        </w:rPr>
      </w:pPr>
    </w:p>
    <w:p>
      <w:pPr>
        <w:pStyle w:val="9"/>
        <w:jc w:val="center"/>
        <w:rPr>
          <w:sz w:val="84"/>
          <w:szCs w:val="84"/>
        </w:rPr>
      </w:pPr>
      <w:r>
        <w:rPr>
          <w:rFonts w:hint="eastAsia"/>
          <w:sz w:val="84"/>
          <w:szCs w:val="84"/>
        </w:rPr>
        <w:t>第一部分</w:t>
      </w:r>
      <w:r>
        <w:rPr>
          <w:sz w:val="84"/>
          <w:szCs w:val="84"/>
        </w:rPr>
        <w:t xml:space="preserve"> </w:t>
      </w:r>
    </w:p>
    <w:p>
      <w:pPr>
        <w:pStyle w:val="9"/>
        <w:jc w:val="center"/>
        <w:rPr>
          <w:rFonts w:hint="eastAsia"/>
          <w:sz w:val="84"/>
          <w:szCs w:val="84"/>
          <w:lang w:val="en-US" w:eastAsia="zh-CN"/>
        </w:rPr>
      </w:pPr>
      <w:r>
        <w:rPr>
          <w:rFonts w:hint="eastAsia"/>
          <w:sz w:val="84"/>
          <w:szCs w:val="84"/>
          <w:lang w:val="en-US" w:eastAsia="zh-CN"/>
        </w:rPr>
        <w:t>湖南省食用菌研究所</w:t>
      </w:r>
    </w:p>
    <w:p>
      <w:pPr>
        <w:pStyle w:val="9"/>
        <w:jc w:val="center"/>
        <w:rPr>
          <w:sz w:val="84"/>
          <w:szCs w:val="84"/>
        </w:rPr>
      </w:pPr>
      <w:r>
        <w:rPr>
          <w:rFonts w:hint="eastAsia"/>
          <w:sz w:val="84"/>
          <w:szCs w:val="84"/>
        </w:rPr>
        <w:t>概况</w:t>
      </w: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10"/>
        <w:ind w:left="0" w:leftChars="0" w:firstLine="0" w:firstLineChars="0"/>
        <w:jc w:val="left"/>
        <w:rPr>
          <w:rFonts w:ascii="黑体" w:hAnsi="黑体" w:eastAsia="黑体"/>
          <w:sz w:val="32"/>
          <w:szCs w:val="32"/>
        </w:rPr>
      </w:pPr>
    </w:p>
    <w:p>
      <w:pPr>
        <w:pStyle w:val="10"/>
        <w:ind w:left="0" w:leftChars="0" w:firstLine="0" w:firstLineChars="0"/>
        <w:jc w:val="left"/>
        <w:rPr>
          <w:rFonts w:ascii="黑体" w:hAnsi="黑体" w:eastAsia="黑体"/>
          <w:sz w:val="32"/>
          <w:szCs w:val="32"/>
        </w:rPr>
      </w:pPr>
    </w:p>
    <w:p>
      <w:pPr>
        <w:pStyle w:val="10"/>
        <w:ind w:left="0" w:leftChars="0" w:firstLine="0" w:firstLineChars="0"/>
        <w:jc w:val="left"/>
        <w:rPr>
          <w:rFonts w:ascii="黑体" w:hAnsi="黑体" w:eastAsia="黑体"/>
          <w:sz w:val="32"/>
          <w:szCs w:val="32"/>
        </w:rPr>
      </w:pPr>
    </w:p>
    <w:p>
      <w:pPr>
        <w:pStyle w:val="10"/>
        <w:numPr>
          <w:ilvl w:val="0"/>
          <w:numId w:val="1"/>
        </w:numPr>
        <w:ind w:firstLineChars="0"/>
        <w:jc w:val="left"/>
        <w:rPr>
          <w:rFonts w:ascii="黑体" w:hAnsi="黑体" w:eastAsia="黑体"/>
          <w:sz w:val="32"/>
          <w:szCs w:val="32"/>
        </w:rPr>
      </w:pPr>
      <w:r>
        <w:rPr>
          <w:rFonts w:ascii="黑体" w:hAnsi="黑体" w:eastAsia="黑体"/>
          <w:sz w:val="32"/>
          <w:szCs w:val="32"/>
        </w:rPr>
        <w:t>部门职责</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宋体" w:hAnsi="宋体" w:eastAsia="宋体" w:cs="宋体"/>
          <w:sz w:val="32"/>
          <w:szCs w:val="32"/>
        </w:rPr>
      </w:pPr>
      <w:r>
        <w:rPr>
          <w:rFonts w:hint="eastAsia" w:ascii="宋体" w:hAnsi="宋体" w:eastAsia="宋体" w:cs="宋体"/>
          <w:sz w:val="32"/>
          <w:szCs w:val="32"/>
        </w:rPr>
        <w:t>湖南省食用菌研究所是我省唯一专门从事食用菌研究与应用的科研机构，成立于1983年。是全国四大省级食用菌专业研究开发机构之一，主要从事食用菌新品种的引进、驯化、繁育及优质高产栽培技术的研究与开发，以及提供食用菌技术培训和技术咨询服务等相关社会公益性服务。科研仪器设备齐全，试验检测手段先进。</w:t>
      </w:r>
    </w:p>
    <w:p>
      <w:pPr>
        <w:widowControl/>
        <w:spacing w:line="600" w:lineRule="exact"/>
        <w:rPr>
          <w:rFonts w:ascii="黑体" w:hAnsi="黑体" w:eastAsia="黑体"/>
          <w:bCs/>
          <w:kern w:val="0"/>
          <w:sz w:val="32"/>
          <w:szCs w:val="32"/>
        </w:rPr>
      </w:pPr>
      <w:r>
        <w:rPr>
          <w:rFonts w:hint="eastAsia" w:ascii="黑体" w:hAnsi="黑体" w:eastAsia="黑体"/>
          <w:bCs/>
          <w:kern w:val="0"/>
          <w:sz w:val="32"/>
          <w:szCs w:val="32"/>
        </w:rPr>
        <w:t>二、机构设置及决算单位构成</w:t>
      </w:r>
    </w:p>
    <w:p>
      <w:pPr>
        <w:widowControl/>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（一）内设机构设置。</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湖南省食用菌研究所隶属于湖南省供销社，属正处级公益一类事业单位。研究所内部设立了人事科（党办）、财务科、办公室（科技支撑办）、遗传育种研究室、高效栽培研究室、保鲜加工研究室6个部门。</w:t>
      </w:r>
    </w:p>
    <w:p>
      <w:pPr>
        <w:widowControl/>
        <w:numPr>
          <w:ilvl w:val="0"/>
          <w:numId w:val="2"/>
        </w:numPr>
        <w:spacing w:line="600" w:lineRule="exact"/>
        <w:rPr>
          <w:rFonts w:hint="eastAsia" w:asciiTheme="minorEastAsia" w:hAnsiTheme="minorEastAsia"/>
          <w:bCs/>
          <w:kern w:val="0"/>
          <w:sz w:val="32"/>
          <w:szCs w:val="32"/>
        </w:rPr>
      </w:pPr>
      <w:r>
        <w:rPr>
          <w:rFonts w:hint="eastAsia" w:asciiTheme="minorEastAsia" w:hAnsiTheme="minorEastAsia"/>
          <w:bCs/>
          <w:kern w:val="0"/>
          <w:sz w:val="32"/>
          <w:szCs w:val="32"/>
        </w:rPr>
        <w:t>决算单位构成。</w:t>
      </w:r>
    </w:p>
    <w:p>
      <w:pPr>
        <w:keepNext w:val="0"/>
        <w:keepLines w:val="0"/>
        <w:pageBreakBefore w:val="0"/>
        <w:widowControl w:val="0"/>
        <w:kinsoku/>
        <w:wordWrap/>
        <w:overflowPunct/>
        <w:topLinePunct w:val="0"/>
        <w:autoSpaceDE/>
        <w:autoSpaceDN/>
        <w:bidi w:val="0"/>
        <w:adjustRightInd/>
        <w:snapToGrid/>
        <w:ind w:firstLine="640" w:firstLineChars="200"/>
        <w:jc w:val="both"/>
        <w:textAlignment w:val="auto"/>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湖南食用菌研究所2021年部门决算公开单位构成包括：湖南省食用菌研究所，本单位无下属单位。</w:t>
      </w:r>
    </w:p>
    <w:p>
      <w:pPr>
        <w:jc w:val="left"/>
        <w:rPr>
          <w:rFonts w:ascii="仿宋_GB2312" w:eastAsia="仿宋_GB2312" w:hAnsiTheme="minorEastAsia"/>
          <w:sz w:val="28"/>
          <w:szCs w:val="32"/>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center"/>
        <w:rPr>
          <w:rFonts w:ascii="黑体" w:hAnsi="黑体" w:eastAsia="黑体"/>
          <w:sz w:val="28"/>
          <w:szCs w:val="28"/>
        </w:rPr>
      </w:pPr>
    </w:p>
    <w:p>
      <w:pPr>
        <w:jc w:val="both"/>
        <w:rPr>
          <w:rFonts w:ascii="黑体" w:hAnsi="黑体" w:eastAsia="黑体"/>
          <w:sz w:val="28"/>
          <w:szCs w:val="28"/>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jc w:val="center"/>
        <w:rPr>
          <w:sz w:val="72"/>
          <w:szCs w:val="72"/>
        </w:rPr>
      </w:pPr>
    </w:p>
    <w:p>
      <w:pPr>
        <w:pStyle w:val="9"/>
        <w:jc w:val="center"/>
        <w:rPr>
          <w:rFonts w:hint="eastAsia"/>
          <w:sz w:val="84"/>
          <w:szCs w:val="84"/>
          <w:lang w:val="en-US" w:eastAsia="zh-CN"/>
        </w:rPr>
      </w:pPr>
      <w:r>
        <w:rPr>
          <w:rFonts w:hint="eastAsia"/>
          <w:sz w:val="84"/>
          <w:szCs w:val="84"/>
          <w:lang w:val="en-US" w:eastAsia="zh-CN"/>
        </w:rPr>
        <w:t>第二部分</w:t>
      </w:r>
    </w:p>
    <w:p>
      <w:pPr>
        <w:pStyle w:val="9"/>
        <w:jc w:val="center"/>
        <w:rPr>
          <w:rFonts w:hint="eastAsia"/>
          <w:sz w:val="84"/>
          <w:szCs w:val="84"/>
          <w:lang w:val="en-US" w:eastAsia="zh-CN"/>
        </w:rPr>
      </w:pPr>
    </w:p>
    <w:p>
      <w:pPr>
        <w:pStyle w:val="9"/>
        <w:jc w:val="center"/>
        <w:rPr>
          <w:sz w:val="72"/>
          <w:szCs w:val="72"/>
        </w:rPr>
      </w:pPr>
      <w:r>
        <w:rPr>
          <w:rFonts w:hint="eastAsia"/>
          <w:sz w:val="84"/>
          <w:szCs w:val="84"/>
          <w:lang w:val="en-US" w:eastAsia="zh-CN"/>
        </w:rPr>
        <w:t>部门决算表</w:t>
      </w:r>
    </w:p>
    <w:p>
      <w:pPr>
        <w:jc w:val="center"/>
        <w:rPr>
          <w:sz w:val="72"/>
          <w:szCs w:val="72"/>
        </w:rPr>
      </w:pPr>
    </w:p>
    <w:p>
      <w:pPr>
        <w:jc w:val="center"/>
        <w:rPr>
          <w:sz w:val="72"/>
          <w:szCs w:val="72"/>
        </w:rPr>
      </w:pPr>
    </w:p>
    <w:p>
      <w:pPr>
        <w:jc w:val="center"/>
        <w:rPr>
          <w:sz w:val="72"/>
          <w:szCs w:val="72"/>
        </w:rPr>
      </w:pPr>
    </w:p>
    <w:p>
      <w:pPr>
        <w:jc w:val="left"/>
        <w:rPr>
          <w:rFonts w:asciiTheme="minorEastAsia" w:hAnsiTheme="minorEastAsia"/>
          <w:sz w:val="32"/>
          <w:szCs w:val="32"/>
        </w:rPr>
        <w:sectPr>
          <w:pgSz w:w="11906" w:h="16838"/>
          <w:pgMar w:top="720" w:right="720" w:bottom="720" w:left="720" w:header="851" w:footer="992" w:gutter="0"/>
          <w:cols w:space="425" w:num="1"/>
          <w:docGrid w:type="lines" w:linePitch="312" w:charSpace="0"/>
        </w:sectPr>
      </w:pPr>
    </w:p>
    <w:tbl>
      <w:tblPr>
        <w:tblStyle w:val="5"/>
        <w:tblW w:w="14081" w:type="dxa"/>
        <w:tblInd w:w="93" w:type="dxa"/>
        <w:tblLayout w:type="fixed"/>
        <w:tblCellMar>
          <w:top w:w="0" w:type="dxa"/>
          <w:left w:w="108" w:type="dxa"/>
          <w:bottom w:w="0" w:type="dxa"/>
          <w:right w:w="108" w:type="dxa"/>
        </w:tblCellMar>
      </w:tblPr>
      <w:tblGrid>
        <w:gridCol w:w="4126"/>
        <w:gridCol w:w="700"/>
        <w:gridCol w:w="380"/>
        <w:gridCol w:w="697"/>
        <w:gridCol w:w="232"/>
        <w:gridCol w:w="651"/>
        <w:gridCol w:w="3911"/>
        <w:gridCol w:w="750"/>
        <w:gridCol w:w="461"/>
        <w:gridCol w:w="657"/>
        <w:gridCol w:w="1516"/>
      </w:tblGrid>
      <w:tr>
        <w:tblPrEx>
          <w:tblCellMar>
            <w:top w:w="0" w:type="dxa"/>
            <w:left w:w="108" w:type="dxa"/>
            <w:bottom w:w="0" w:type="dxa"/>
            <w:right w:w="108" w:type="dxa"/>
          </w:tblCellMar>
        </w:tblPrEx>
        <w:trPr>
          <w:trHeight w:val="360" w:hRule="atLeast"/>
        </w:trPr>
        <w:tc>
          <w:tcPr>
            <w:tcW w:w="14081" w:type="dxa"/>
            <w:gridSpan w:val="11"/>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收入支出决算总表</w:t>
            </w:r>
          </w:p>
        </w:tc>
      </w:tr>
      <w:tr>
        <w:tblPrEx>
          <w:tblCellMar>
            <w:top w:w="0" w:type="dxa"/>
            <w:left w:w="108" w:type="dxa"/>
            <w:bottom w:w="0" w:type="dxa"/>
            <w:right w:w="108" w:type="dxa"/>
          </w:tblCellMar>
        </w:tblPrEx>
        <w:trPr>
          <w:trHeight w:val="199" w:hRule="atLeast"/>
        </w:trPr>
        <w:tc>
          <w:tcPr>
            <w:tcW w:w="5206" w:type="dxa"/>
            <w:gridSpan w:val="3"/>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公开01表</w:t>
            </w:r>
          </w:p>
        </w:tc>
      </w:tr>
      <w:tr>
        <w:tblPrEx>
          <w:tblCellMar>
            <w:top w:w="0" w:type="dxa"/>
            <w:left w:w="108" w:type="dxa"/>
            <w:bottom w:w="0" w:type="dxa"/>
            <w:right w:w="108" w:type="dxa"/>
          </w:tblCellMar>
        </w:tblPrEx>
        <w:trPr>
          <w:trHeight w:val="300" w:hRule="atLeast"/>
        </w:trPr>
        <w:tc>
          <w:tcPr>
            <w:tcW w:w="5206" w:type="dxa"/>
            <w:gridSpan w:val="3"/>
            <w:tcBorders>
              <w:top w:val="nil"/>
              <w:left w:val="nil"/>
              <w:bottom w:val="nil"/>
              <w:right w:val="nil"/>
            </w:tcBorders>
            <w:shd w:val="clear" w:color="000000" w:fill="FFFFFF"/>
            <w:noWrap/>
            <w:vAlign w:val="center"/>
          </w:tcPr>
          <w:p>
            <w:pPr>
              <w:widowControl/>
              <w:jc w:val="left"/>
              <w:rPr>
                <w:rFonts w:ascii="宋体" w:hAnsi="宋体" w:eastAsia="宋体" w:cs="宋体"/>
                <w:color w:val="000000"/>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val="en-US" w:eastAsia="zh-CN"/>
              </w:rPr>
              <w:t>湖南省食用菌研究所</w:t>
            </w:r>
            <w:r>
              <w:rPr>
                <w:rFonts w:ascii="宋体" w:hAnsi="宋体" w:eastAsia="宋体" w:cs="宋体"/>
                <w:color w:val="000000"/>
                <w:kern w:val="0"/>
                <w:sz w:val="20"/>
                <w:szCs w:val="20"/>
              </w:rPr>
              <w:t xml:space="preserve"> </w:t>
            </w:r>
          </w:p>
        </w:tc>
        <w:tc>
          <w:tcPr>
            <w:tcW w:w="69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32"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773" w:type="dxa"/>
            <w:gridSpan w:val="4"/>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657"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516"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340" w:hRule="atLeast"/>
        </w:trPr>
        <w:tc>
          <w:tcPr>
            <w:tcW w:w="6786" w:type="dxa"/>
            <w:gridSpan w:val="6"/>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7295" w:type="dxa"/>
            <w:gridSpan w:val="5"/>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1960" w:type="dxa"/>
            <w:gridSpan w:val="4"/>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2634"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决算数</w:t>
            </w:r>
          </w:p>
        </w:tc>
      </w:tr>
      <w:tr>
        <w:tblPrEx>
          <w:tblCellMar>
            <w:top w:w="0" w:type="dxa"/>
            <w:left w:w="108" w:type="dxa"/>
            <w:bottom w:w="0" w:type="dxa"/>
            <w:right w:w="108" w:type="dxa"/>
          </w:tblCellMar>
        </w:tblPrEx>
        <w:trPr>
          <w:trHeight w:val="9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1960" w:type="dxa"/>
            <w:gridSpan w:val="4"/>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2634" w:type="dxa"/>
            <w:gridSpan w:val="3"/>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707.02</w:t>
            </w: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14</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5.24</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15</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16</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9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四、上级补助收入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17</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五、事业收入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18</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六、经营收入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19</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690.26</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七、附属单位上缴收入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20</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八、其他收入</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53.90</w:t>
            </w:r>
          </w:p>
        </w:tc>
        <w:tc>
          <w:tcPr>
            <w:tcW w:w="39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szCs w:val="22"/>
                <w:lang w:val="en-US" w:eastAsia="zh-CN"/>
              </w:rPr>
              <w:t>八、社会保障和就业支出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21</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64</w:t>
            </w: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0"/>
                <w:szCs w:val="20"/>
              </w:rPr>
            </w:pPr>
            <w:r>
              <w:rPr>
                <w:rFonts w:hint="eastAsia" w:ascii="宋体" w:hAnsi="宋体" w:eastAsia="宋体" w:cs="宋体"/>
                <w:kern w:val="0"/>
                <w:sz w:val="20"/>
                <w:szCs w:val="20"/>
              </w:rPr>
              <w:t>　</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9</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0"/>
                <w:szCs w:val="20"/>
              </w:rPr>
            </w:pPr>
            <w:r>
              <w:rPr>
                <w:rFonts w:hint="eastAsia" w:ascii="宋体" w:hAnsi="宋体" w:eastAsia="宋体" w:cs="宋体"/>
                <w:kern w:val="0"/>
                <w:sz w:val="24"/>
                <w:szCs w:val="24"/>
              </w:rPr>
              <w:t>……</w:t>
            </w:r>
            <w:r>
              <w:rPr>
                <w:rFonts w:hint="eastAsia" w:ascii="宋体" w:hAnsi="宋体" w:eastAsia="宋体" w:cs="宋体"/>
                <w:kern w:val="0"/>
                <w:sz w:val="20"/>
                <w:szCs w:val="20"/>
              </w:rPr>
              <w:t>　</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22</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9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2"/>
                <w:szCs w:val="22"/>
                <w:lang w:val="en-US" w:eastAsia="zh-CN"/>
              </w:rPr>
              <w:t>十二、农林水支出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23</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bCs/>
                <w:kern w:val="0"/>
                <w:sz w:val="22"/>
                <w:lang w:val="en-US" w:eastAsia="zh-CN"/>
              </w:rPr>
            </w:pPr>
            <w:r>
              <w:rPr>
                <w:rFonts w:hint="eastAsia" w:ascii="宋体" w:hAnsi="宋体" w:eastAsia="宋体" w:cs="宋体"/>
                <w:b w:val="0"/>
                <w:bCs w:val="0"/>
                <w:kern w:val="0"/>
                <w:sz w:val="22"/>
                <w:lang w:val="en-US" w:eastAsia="zh-CN"/>
              </w:rPr>
              <w:t>2.03</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9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szCs w:val="22"/>
                <w:lang w:val="en-US" w:eastAsia="zh-CN"/>
              </w:rPr>
            </w:pPr>
            <w:r>
              <w:rPr>
                <w:rFonts w:hint="eastAsia" w:ascii="宋体" w:hAnsi="宋体" w:eastAsia="宋体" w:cs="宋体"/>
                <w:kern w:val="0"/>
                <w:sz w:val="24"/>
                <w:szCs w:val="24"/>
              </w:rPr>
              <w:t>……</w:t>
            </w:r>
            <w:r>
              <w:rPr>
                <w:rFonts w:hint="eastAsia" w:ascii="宋体" w:hAnsi="宋体" w:eastAsia="宋体" w:cs="宋体"/>
                <w:kern w:val="0"/>
                <w:sz w:val="20"/>
                <w:szCs w:val="20"/>
              </w:rPr>
              <w:t>　</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24</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lang w:val="en-US" w:eastAsia="zh-CN"/>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911" w:type="dxa"/>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0"/>
                <w:szCs w:val="20"/>
              </w:rPr>
            </w:pPr>
            <w:r>
              <w:rPr>
                <w:rFonts w:hint="eastAsia" w:ascii="宋体" w:hAnsi="宋体" w:eastAsia="宋体" w:cs="宋体"/>
                <w:kern w:val="0"/>
                <w:sz w:val="22"/>
                <w:szCs w:val="22"/>
                <w:lang w:val="en-US" w:eastAsia="zh-CN"/>
              </w:rPr>
              <w:t>十九、住房保障支出</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25</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bCs/>
                <w:kern w:val="0"/>
                <w:sz w:val="22"/>
                <w:lang w:val="en-US" w:eastAsia="zh-CN"/>
              </w:rPr>
            </w:pPr>
            <w:r>
              <w:rPr>
                <w:rFonts w:hint="eastAsia" w:ascii="宋体" w:hAnsi="宋体" w:eastAsia="宋体" w:cs="宋体"/>
                <w:b w:val="0"/>
                <w:bCs w:val="0"/>
                <w:kern w:val="0"/>
                <w:sz w:val="22"/>
                <w:lang w:val="en-US" w:eastAsia="zh-CN"/>
              </w:rPr>
              <w:t>52.44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3911" w:type="dxa"/>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0"/>
                <w:szCs w:val="20"/>
              </w:rPr>
            </w:pP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hint="eastAsia" w:ascii="宋体" w:hAnsi="宋体" w:eastAsia="宋体" w:cs="宋体"/>
                <w:kern w:val="0"/>
                <w:sz w:val="22"/>
              </w:rPr>
            </w:pP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b/>
                <w:bCs/>
                <w:kern w:val="0"/>
                <w:sz w:val="22"/>
              </w:rPr>
            </w:pP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10</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760.92</w:t>
            </w: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23</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813.97</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使用非财政拨款结余</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11</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37.64</w:t>
            </w: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结余分配</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24</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2.84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年初结转和结余</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12</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157.09</w:t>
            </w: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年末结转和结余</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25</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138.84</w:t>
            </w:r>
          </w:p>
        </w:tc>
      </w:tr>
      <w:tr>
        <w:tblPrEx>
          <w:tblCellMar>
            <w:top w:w="0" w:type="dxa"/>
            <w:left w:w="108" w:type="dxa"/>
            <w:bottom w:w="0" w:type="dxa"/>
            <w:right w:w="108" w:type="dxa"/>
          </w:tblCellMar>
        </w:tblPrEx>
        <w:trPr>
          <w:trHeight w:val="340" w:hRule="atLeast"/>
        </w:trPr>
        <w:tc>
          <w:tcPr>
            <w:tcW w:w="4126" w:type="dxa"/>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70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13</w:t>
            </w:r>
          </w:p>
        </w:tc>
        <w:tc>
          <w:tcPr>
            <w:tcW w:w="1960" w:type="dxa"/>
            <w:gridSpan w:val="4"/>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955.65</w:t>
            </w:r>
            <w:r>
              <w:rPr>
                <w:rFonts w:hint="eastAsia" w:ascii="宋体" w:hAnsi="宋体" w:eastAsia="宋体" w:cs="宋体"/>
                <w:kern w:val="0"/>
                <w:sz w:val="22"/>
              </w:rPr>
              <w:t>　</w:t>
            </w:r>
          </w:p>
        </w:tc>
        <w:tc>
          <w:tcPr>
            <w:tcW w:w="3911"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750"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2634" w:type="dxa"/>
            <w:gridSpan w:val="3"/>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b/>
                <w:bCs/>
                <w:kern w:val="0"/>
                <w:sz w:val="22"/>
                <w:lang w:val="en-US" w:eastAsia="zh-CN"/>
              </w:rPr>
            </w:pPr>
            <w:r>
              <w:rPr>
                <w:rFonts w:hint="eastAsia" w:ascii="宋体" w:hAnsi="宋体" w:eastAsia="宋体" w:cs="宋体"/>
                <w:b/>
                <w:bCs/>
                <w:kern w:val="0"/>
                <w:sz w:val="22"/>
              </w:rPr>
              <w:t>　</w:t>
            </w:r>
            <w:r>
              <w:rPr>
                <w:rFonts w:hint="eastAsia" w:ascii="宋体" w:hAnsi="宋体" w:eastAsia="宋体" w:cs="宋体"/>
                <w:b w:val="0"/>
                <w:bCs w:val="0"/>
                <w:kern w:val="0"/>
                <w:sz w:val="22"/>
                <w:lang w:val="en-US" w:eastAsia="zh-CN"/>
              </w:rPr>
              <w:t>955.65</w:t>
            </w:r>
          </w:p>
        </w:tc>
      </w:tr>
      <w:tr>
        <w:tblPrEx>
          <w:tblCellMar>
            <w:top w:w="0" w:type="dxa"/>
            <w:left w:w="108" w:type="dxa"/>
            <w:bottom w:w="0" w:type="dxa"/>
            <w:right w:w="108" w:type="dxa"/>
          </w:tblCellMar>
        </w:tblPrEx>
        <w:trPr>
          <w:trHeight w:val="1020" w:hRule="atLeast"/>
        </w:trPr>
        <w:tc>
          <w:tcPr>
            <w:tcW w:w="14081" w:type="dxa"/>
            <w:gridSpan w:val="11"/>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注：1.本表反映部门本年度的总收支和年末结转结余情况。</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2.本套报表金额单位转换时可能存在尾数误差。</w:t>
            </w:r>
          </w:p>
        </w:tc>
      </w:tr>
    </w:tbl>
    <w:p>
      <w:pPr>
        <w:jc w:val="center"/>
        <w:rPr>
          <w:rFonts w:ascii="黑体" w:hAnsi="黑体" w:eastAsia="黑体"/>
          <w:sz w:val="28"/>
          <w:szCs w:val="28"/>
        </w:rPr>
        <w:sectPr>
          <w:pgSz w:w="16838" w:h="11906" w:orient="landscape"/>
          <w:pgMar w:top="1417" w:right="1440" w:bottom="850" w:left="1440" w:header="851" w:footer="992" w:gutter="0"/>
          <w:cols w:space="425" w:num="1"/>
          <w:docGrid w:type="linesAndChars" w:linePitch="312" w:charSpace="0"/>
        </w:sectPr>
      </w:pPr>
    </w:p>
    <w:tbl>
      <w:tblPr>
        <w:tblStyle w:val="5"/>
        <w:tblW w:w="14708" w:type="dxa"/>
        <w:tblInd w:w="0" w:type="dxa"/>
        <w:tblLayout w:type="fixed"/>
        <w:tblCellMar>
          <w:top w:w="0" w:type="dxa"/>
          <w:left w:w="0" w:type="dxa"/>
          <w:bottom w:w="0" w:type="dxa"/>
          <w:right w:w="0" w:type="dxa"/>
        </w:tblCellMar>
      </w:tblPr>
      <w:tblGrid>
        <w:gridCol w:w="930"/>
        <w:gridCol w:w="73"/>
        <w:gridCol w:w="3757"/>
        <w:gridCol w:w="1278"/>
        <w:gridCol w:w="1445"/>
        <w:gridCol w:w="1445"/>
        <w:gridCol w:w="1445"/>
        <w:gridCol w:w="1445"/>
        <w:gridCol w:w="1445"/>
        <w:gridCol w:w="1445"/>
      </w:tblGrid>
      <w:tr>
        <w:tblPrEx>
          <w:tblCellMar>
            <w:top w:w="0" w:type="dxa"/>
            <w:left w:w="0" w:type="dxa"/>
            <w:bottom w:w="0" w:type="dxa"/>
            <w:right w:w="0" w:type="dxa"/>
          </w:tblCellMar>
        </w:tblPrEx>
        <w:trPr>
          <w:trHeight w:val="435" w:hRule="atLeast"/>
          <w:tblHeader/>
        </w:trPr>
        <w:tc>
          <w:tcPr>
            <w:tcW w:w="14708" w:type="dxa"/>
            <w:gridSpan w:val="10"/>
            <w:tcBorders>
              <w:top w:val="nil"/>
              <w:left w:val="nil"/>
              <w:bottom w:val="nil"/>
              <w:right w:val="nil"/>
            </w:tcBorders>
            <w:shd w:val="clear" w:color="auto" w:fill="auto"/>
            <w:noWrap/>
            <w:tcMar>
              <w:top w:w="15" w:type="dxa"/>
              <w:left w:w="15" w:type="dxa"/>
              <w:bottom w:w="0" w:type="dxa"/>
              <w:right w:w="15" w:type="dxa"/>
            </w:tcMar>
            <w:vAlign w:val="center"/>
          </w:tcPr>
          <w:p>
            <w:pPr>
              <w:jc w:val="center"/>
              <w:rPr>
                <w:rFonts w:ascii="华文中宋" w:hAnsi="华文中宋" w:eastAsia="华文中宋" w:cs="宋体"/>
                <w:color w:val="000000"/>
                <w:sz w:val="32"/>
                <w:szCs w:val="32"/>
              </w:rPr>
            </w:pPr>
            <w:r>
              <w:rPr>
                <w:rFonts w:hint="eastAsia" w:ascii="华文中宋" w:hAnsi="华文中宋" w:eastAsia="华文中宋" w:cs="宋体"/>
                <w:color w:val="000000"/>
                <w:kern w:val="0"/>
                <w:sz w:val="32"/>
                <w:szCs w:val="32"/>
              </w:rPr>
              <w:t>收入决算表</w:t>
            </w:r>
          </w:p>
        </w:tc>
      </w:tr>
      <w:tr>
        <w:tblPrEx>
          <w:tblCellMar>
            <w:top w:w="0" w:type="dxa"/>
            <w:left w:w="0" w:type="dxa"/>
            <w:bottom w:w="0" w:type="dxa"/>
            <w:right w:w="0" w:type="dxa"/>
          </w:tblCellMar>
        </w:tblPrEx>
        <w:trPr>
          <w:trHeight w:val="285" w:hRule="atLeast"/>
          <w:tblHeader/>
        </w:trPr>
        <w:tc>
          <w:tcPr>
            <w:tcW w:w="930"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73"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3757"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27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公开02表</w:t>
            </w:r>
          </w:p>
        </w:tc>
      </w:tr>
      <w:tr>
        <w:tblPrEx>
          <w:tblCellMar>
            <w:top w:w="0" w:type="dxa"/>
            <w:left w:w="0" w:type="dxa"/>
            <w:bottom w:w="0" w:type="dxa"/>
            <w:right w:w="0" w:type="dxa"/>
          </w:tblCellMar>
        </w:tblPrEx>
        <w:trPr>
          <w:trHeight w:val="285" w:hRule="atLeast"/>
          <w:tblHeader/>
        </w:trPr>
        <w:tc>
          <w:tcPr>
            <w:tcW w:w="4760" w:type="dxa"/>
            <w:gridSpan w:val="3"/>
            <w:tcBorders>
              <w:top w:val="nil"/>
              <w:left w:val="nil"/>
              <w:bottom w:val="nil"/>
              <w:right w:val="nil"/>
            </w:tcBorders>
            <w:shd w:val="clear" w:color="000000" w:fill="FFFFFF"/>
            <w:noWrap/>
            <w:tcMar>
              <w:top w:w="15" w:type="dxa"/>
              <w:left w:w="15" w:type="dxa"/>
              <w:bottom w:w="0" w:type="dxa"/>
              <w:right w:w="15" w:type="dxa"/>
            </w:tcMar>
            <w:vAlign w:val="center"/>
          </w:tcPr>
          <w:p>
            <w:pPr>
              <w:rPr>
                <w:rFonts w:ascii="宋体" w:hAnsi="宋体" w:eastAsia="宋体" w:cs="宋体"/>
                <w:sz w:val="24"/>
                <w:szCs w:val="24"/>
              </w:rPr>
            </w:pPr>
            <w:r>
              <w:rPr>
                <w:rFonts w:hint="eastAsia"/>
                <w:color w:val="000000"/>
                <w:sz w:val="20"/>
                <w:szCs w:val="20"/>
              </w:rPr>
              <w:t>部门：</w:t>
            </w:r>
            <w:r>
              <w:rPr>
                <w:rFonts w:hint="eastAsia"/>
                <w:color w:val="000000"/>
                <w:sz w:val="20"/>
                <w:szCs w:val="20"/>
                <w:lang w:val="en-US" w:eastAsia="zh-CN"/>
              </w:rPr>
              <w:t>湖南省食用菌研究所</w:t>
            </w:r>
            <w:r>
              <w:rPr>
                <w:rFonts w:hint="eastAsia"/>
              </w:rPr>
              <w:t>　</w:t>
            </w:r>
          </w:p>
        </w:tc>
        <w:tc>
          <w:tcPr>
            <w:tcW w:w="1278"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center"/>
              <w:rPr>
                <w:rFonts w:ascii="宋体" w:hAnsi="宋体" w:eastAsia="宋体" w:cs="宋体"/>
                <w:color w:val="000000"/>
                <w:sz w:val="20"/>
                <w:szCs w:val="20"/>
              </w:rPr>
            </w:pPr>
            <w:r>
              <w:rPr>
                <w:rFonts w:hint="eastAsia"/>
                <w:color w:val="000000"/>
                <w:sz w:val="20"/>
                <w:szCs w:val="20"/>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sz w:val="24"/>
                <w:szCs w:val="24"/>
              </w:rPr>
            </w:pPr>
            <w:r>
              <w:rPr>
                <w:rFonts w:hint="eastAsia"/>
              </w:rPr>
              <w:t>　</w:t>
            </w:r>
          </w:p>
        </w:tc>
        <w:tc>
          <w:tcPr>
            <w:tcW w:w="1445" w:type="dxa"/>
            <w:tcBorders>
              <w:top w:val="nil"/>
              <w:left w:val="nil"/>
              <w:bottom w:val="nil"/>
              <w:right w:val="nil"/>
            </w:tcBorders>
            <w:shd w:val="clear" w:color="000000" w:fill="FFFFFF"/>
            <w:noWrap/>
            <w:tcMar>
              <w:top w:w="15" w:type="dxa"/>
              <w:left w:w="15" w:type="dxa"/>
              <w:bottom w:w="0" w:type="dxa"/>
              <w:right w:w="15" w:type="dxa"/>
            </w:tcMar>
            <w:vAlign w:val="center"/>
          </w:tcPr>
          <w:p>
            <w:pPr>
              <w:jc w:val="right"/>
              <w:rPr>
                <w:rFonts w:ascii="宋体" w:hAnsi="宋体" w:eastAsia="宋体" w:cs="宋体"/>
                <w:color w:val="000000"/>
                <w:sz w:val="20"/>
                <w:szCs w:val="20"/>
              </w:rPr>
            </w:pPr>
            <w:r>
              <w:rPr>
                <w:rFonts w:hint="eastAsia"/>
                <w:color w:val="000000"/>
                <w:sz w:val="20"/>
                <w:szCs w:val="20"/>
              </w:rPr>
              <w:t>单位：万元</w:t>
            </w:r>
          </w:p>
        </w:tc>
      </w:tr>
      <w:tr>
        <w:tblPrEx>
          <w:tblCellMar>
            <w:top w:w="0" w:type="dxa"/>
            <w:left w:w="0" w:type="dxa"/>
            <w:bottom w:w="0" w:type="dxa"/>
            <w:right w:w="0" w:type="dxa"/>
          </w:tblCellMar>
        </w:tblPrEx>
        <w:trPr>
          <w:trHeight w:val="450" w:hRule="atLeast"/>
          <w:tblHeader/>
        </w:trPr>
        <w:tc>
          <w:tcPr>
            <w:tcW w:w="4760" w:type="dxa"/>
            <w:gridSpan w:val="3"/>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项    目</w:t>
            </w:r>
          </w:p>
        </w:tc>
        <w:tc>
          <w:tcPr>
            <w:tcW w:w="1278"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本年收入合计</w:t>
            </w:r>
          </w:p>
        </w:tc>
        <w:tc>
          <w:tcPr>
            <w:tcW w:w="1445" w:type="dxa"/>
            <w:vMerge w:val="restart"/>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财政拨款收入</w:t>
            </w:r>
          </w:p>
        </w:tc>
        <w:tc>
          <w:tcPr>
            <w:tcW w:w="14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上级补助收入</w:t>
            </w:r>
          </w:p>
        </w:tc>
        <w:tc>
          <w:tcPr>
            <w:tcW w:w="14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事业收入</w:t>
            </w:r>
          </w:p>
        </w:tc>
        <w:tc>
          <w:tcPr>
            <w:tcW w:w="14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经营收入</w:t>
            </w:r>
          </w:p>
        </w:tc>
        <w:tc>
          <w:tcPr>
            <w:tcW w:w="14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附属单位上缴收入</w:t>
            </w:r>
          </w:p>
        </w:tc>
        <w:tc>
          <w:tcPr>
            <w:tcW w:w="1445" w:type="dxa"/>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其他收入</w:t>
            </w:r>
          </w:p>
        </w:tc>
      </w:tr>
      <w:tr>
        <w:tblPrEx>
          <w:tblCellMar>
            <w:top w:w="0" w:type="dxa"/>
            <w:left w:w="0" w:type="dxa"/>
            <w:bottom w:w="0" w:type="dxa"/>
            <w:right w:w="0" w:type="dxa"/>
          </w:tblCellMar>
        </w:tblPrEx>
        <w:trPr>
          <w:trHeight w:val="450" w:hRule="atLeast"/>
          <w:tblHeader/>
        </w:trPr>
        <w:tc>
          <w:tcPr>
            <w:tcW w:w="1003" w:type="dxa"/>
            <w:gridSpan w:val="2"/>
            <w:vMerge w:val="restart"/>
            <w:tcBorders>
              <w:top w:val="single" w:color="auto" w:sz="4" w:space="0"/>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功能分类科目编码</w:t>
            </w:r>
          </w:p>
        </w:tc>
        <w:tc>
          <w:tcPr>
            <w:tcW w:w="3757" w:type="dxa"/>
            <w:vMerge w:val="restart"/>
            <w:tcBorders>
              <w:top w:val="nil"/>
              <w:left w:val="single" w:color="auto" w:sz="4" w:space="0"/>
              <w:bottom w:val="single" w:color="auto" w:sz="4" w:space="0"/>
              <w:right w:val="single" w:color="auto" w:sz="4" w:space="0"/>
            </w:tcBorders>
            <w:shd w:val="clear" w:color="000000" w:fill="FFFFFF"/>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科目名称</w:t>
            </w:r>
          </w:p>
        </w:tc>
        <w:tc>
          <w:tcPr>
            <w:tcW w:w="127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450" w:hRule="atLeast"/>
          <w:tblHeader/>
        </w:trPr>
        <w:tc>
          <w:tcPr>
            <w:tcW w:w="1003" w:type="dxa"/>
            <w:gridSpan w:val="2"/>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3757" w:type="dxa"/>
            <w:vMerge w:val="continue"/>
            <w:tcBorders>
              <w:top w:val="nil"/>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278"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c>
          <w:tcPr>
            <w:tcW w:w="1445" w:type="dxa"/>
            <w:vMerge w:val="continue"/>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 w:val="24"/>
                <w:szCs w:val="24"/>
              </w:rPr>
            </w:pPr>
          </w:p>
        </w:tc>
      </w:tr>
      <w:tr>
        <w:tblPrEx>
          <w:tblCellMar>
            <w:top w:w="0" w:type="dxa"/>
            <w:left w:w="0" w:type="dxa"/>
            <w:bottom w:w="0" w:type="dxa"/>
            <w:right w:w="0" w:type="dxa"/>
          </w:tblCellMar>
        </w:tblPrEx>
        <w:trPr>
          <w:trHeight w:val="90" w:hRule="atLeast"/>
          <w:tblHeader/>
        </w:trPr>
        <w:tc>
          <w:tcPr>
            <w:tcW w:w="4760"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栏次</w:t>
            </w:r>
          </w:p>
        </w:tc>
        <w:tc>
          <w:tcPr>
            <w:tcW w:w="1278"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1</w:t>
            </w:r>
          </w:p>
        </w:tc>
        <w:tc>
          <w:tcPr>
            <w:tcW w:w="14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2</w:t>
            </w:r>
          </w:p>
        </w:tc>
        <w:tc>
          <w:tcPr>
            <w:tcW w:w="14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3</w:t>
            </w:r>
          </w:p>
        </w:tc>
        <w:tc>
          <w:tcPr>
            <w:tcW w:w="14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4</w:t>
            </w:r>
          </w:p>
        </w:tc>
        <w:tc>
          <w:tcPr>
            <w:tcW w:w="14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5</w:t>
            </w:r>
          </w:p>
        </w:tc>
        <w:tc>
          <w:tcPr>
            <w:tcW w:w="14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6</w:t>
            </w:r>
          </w:p>
        </w:tc>
        <w:tc>
          <w:tcPr>
            <w:tcW w:w="1445" w:type="dxa"/>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jc w:val="center"/>
              <w:rPr>
                <w:rFonts w:ascii="宋体" w:hAnsi="宋体" w:eastAsia="宋体" w:cs="宋体"/>
                <w:sz w:val="24"/>
                <w:szCs w:val="24"/>
              </w:rPr>
            </w:pPr>
            <w:r>
              <w:rPr>
                <w:rFonts w:hint="eastAsia"/>
              </w:rPr>
              <w:t>7</w:t>
            </w:r>
          </w:p>
        </w:tc>
      </w:tr>
      <w:tr>
        <w:tblPrEx>
          <w:tblCellMar>
            <w:top w:w="0" w:type="dxa"/>
            <w:left w:w="0" w:type="dxa"/>
            <w:bottom w:w="0" w:type="dxa"/>
            <w:right w:w="0" w:type="dxa"/>
          </w:tblCellMar>
        </w:tblPrEx>
        <w:trPr>
          <w:trHeight w:val="300" w:hRule="atLeast"/>
        </w:trPr>
        <w:tc>
          <w:tcPr>
            <w:tcW w:w="4760" w:type="dxa"/>
            <w:gridSpan w:val="3"/>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center"/>
              <w:textAlignment w:val="center"/>
              <w:rPr>
                <w:rFonts w:ascii="宋体" w:hAnsi="宋体" w:eastAsia="宋体" w:cs="宋体"/>
                <w:sz w:val="22"/>
                <w:szCs w:val="22"/>
              </w:rPr>
            </w:pPr>
            <w:r>
              <w:rPr>
                <w:rFonts w:hint="eastAsia" w:ascii="宋体" w:hAnsi="宋体" w:eastAsia="宋体" w:cs="宋体"/>
                <w:sz w:val="22"/>
                <w:szCs w:val="22"/>
                <w:lang w:val="en-US" w:eastAsia="zh-CN"/>
              </w:rPr>
              <w:t>合计</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760.92</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707.02</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53.90</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201</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一般公共服务支出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5.00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5.00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20138</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市场监督管理事务</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华文中宋" w:hAnsi="华文中宋" w:eastAsia="华文中宋" w:cs="宋体"/>
                <w:sz w:val="22"/>
                <w:szCs w:val="22"/>
              </w:rPr>
            </w:pPr>
            <w:r>
              <w:rPr>
                <w:rFonts w:hint="eastAsia" w:ascii="宋体" w:hAnsi="宋体" w:eastAsia="宋体" w:cs="宋体"/>
                <w:b/>
                <w:bCs/>
                <w:i w:val="0"/>
                <w:iCs w:val="0"/>
                <w:color w:val="000000"/>
                <w:kern w:val="0"/>
                <w:sz w:val="22"/>
                <w:szCs w:val="22"/>
                <w:u w:val="none"/>
                <w:lang w:val="en-US" w:eastAsia="zh-CN" w:bidi="ar"/>
              </w:rPr>
              <w:t>5.00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5.00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2013810</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 xml:space="preserve">  质量基础</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5.00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5.00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206</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科学技术支出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619.48</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565.58</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53.90</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20602</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基础研究</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15.10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b/>
                <w:bCs/>
                <w:i w:val="0"/>
                <w:iCs w:val="0"/>
                <w:color w:val="000000"/>
                <w:kern w:val="0"/>
                <w:sz w:val="22"/>
                <w:szCs w:val="22"/>
                <w:u w:val="none"/>
                <w:lang w:val="en-US" w:eastAsia="zh-CN" w:bidi="ar"/>
              </w:rPr>
              <w:t>15.10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2060203</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 xml:space="preserve">  自然科学基金</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15.10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r>
              <w:rPr>
                <w:rFonts w:hint="eastAsia" w:ascii="宋体" w:hAnsi="宋体" w:eastAsia="宋体" w:cs="宋体"/>
                <w:i w:val="0"/>
                <w:iCs w:val="0"/>
                <w:color w:val="000000"/>
                <w:kern w:val="0"/>
                <w:sz w:val="22"/>
                <w:szCs w:val="22"/>
                <w:u w:val="none"/>
                <w:lang w:val="en-US" w:eastAsia="zh-CN" w:bidi="ar"/>
              </w:rPr>
              <w:t>15.10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ascii="宋体" w:hAnsi="宋体" w:eastAsia="宋体" w:cs="宋体"/>
                <w:sz w:val="22"/>
                <w:szCs w:val="22"/>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20603</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应用研究</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440.86</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439.51</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1.35</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2060301</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机构运行</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423.86</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422.51</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1.35</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2060302</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社会公益研究</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2060399</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其他应用研究支出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7.00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20604</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技术研究与开发</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8.00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8.00</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2060499</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其他技术研究与开发支出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8.00</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20605</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科技条件与服务</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144.54</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100.00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44.54</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2060599</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其他科技条件与服务支出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144.54</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44.54</w:t>
            </w: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20609</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科技重大项目</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0.97</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0.97</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2060902</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重点研发计划</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0.97</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0.97</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20699</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其他科学技术支出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10.00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10.00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2069999</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其他科学技术支出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10.00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208</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社会保障和就业支出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64.00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64.00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20805</w:t>
            </w:r>
          </w:p>
        </w:tc>
        <w:tc>
          <w:tcPr>
            <w:tcW w:w="3830" w:type="dxa"/>
            <w:gridSpan w:val="2"/>
            <w:tcBorders>
              <w:top w:val="nil"/>
              <w:left w:val="nil"/>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行政事业单位养老支出</w:t>
            </w:r>
          </w:p>
        </w:tc>
        <w:tc>
          <w:tcPr>
            <w:tcW w:w="1278"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64.00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64.00</w:t>
            </w: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2080505</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机关事业单位基本养老保险缴费支出</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42.00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2080506</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机关事业单位职业年金缴费支出</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213</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农林水支出</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21301</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农业农村</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20.00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2130122</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农业生产发展</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20.00</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221</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住房保障支出</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52.44</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52.44</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22102</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住房改革支出</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52.44</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b/>
                <w:bCs/>
                <w:i w:val="0"/>
                <w:iCs w:val="0"/>
                <w:color w:val="000000"/>
                <w:kern w:val="0"/>
                <w:sz w:val="22"/>
                <w:szCs w:val="22"/>
                <w:u w:val="none"/>
                <w:lang w:val="en-US" w:eastAsia="zh-CN" w:bidi="ar"/>
              </w:rPr>
              <w:t>52.44</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2210201</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41.13</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41.13</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300" w:hRule="atLeast"/>
        </w:trPr>
        <w:tc>
          <w:tcPr>
            <w:tcW w:w="930" w:type="dxa"/>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2210203</w:t>
            </w:r>
          </w:p>
        </w:tc>
        <w:tc>
          <w:tcPr>
            <w:tcW w:w="3830" w:type="dxa"/>
            <w:gridSpan w:val="2"/>
            <w:tcBorders>
              <w:top w:val="single" w:color="auto" w:sz="4" w:space="0"/>
              <w:left w:val="single" w:color="auto" w:sz="4" w:space="0"/>
              <w:bottom w:val="single" w:color="auto" w:sz="4" w:space="0"/>
              <w:right w:val="single" w:color="auto" w:sz="4" w:space="0"/>
            </w:tcBorders>
            <w:shd w:val="clear" w:color="000000" w:fill="FFFFFF"/>
            <w:noWrap/>
            <w:tcMar>
              <w:top w:w="15" w:type="dxa"/>
              <w:left w:w="15" w:type="dxa"/>
              <w:bottom w:w="0" w:type="dxa"/>
              <w:right w:w="15" w:type="dxa"/>
            </w:tcMar>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购房补贴</w:t>
            </w:r>
          </w:p>
        </w:tc>
        <w:tc>
          <w:tcPr>
            <w:tcW w:w="1278"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11.31</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11.31</w:t>
            </w: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45"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0" w:type="dxa"/>
            <w:bottom w:w="0" w:type="dxa"/>
            <w:right w:w="0" w:type="dxa"/>
          </w:tblCellMar>
        </w:tblPrEx>
        <w:trPr>
          <w:trHeight w:val="615" w:hRule="atLeast"/>
        </w:trPr>
        <w:tc>
          <w:tcPr>
            <w:tcW w:w="14708" w:type="dxa"/>
            <w:gridSpan w:val="10"/>
            <w:tcBorders>
              <w:top w:val="single" w:color="auto" w:sz="4" w:space="0"/>
              <w:left w:val="nil"/>
              <w:bottom w:val="nil"/>
              <w:right w:val="nil"/>
            </w:tcBorders>
            <w:shd w:val="clear" w:color="auto" w:fill="auto"/>
            <w:tcMar>
              <w:top w:w="15" w:type="dxa"/>
              <w:left w:w="15" w:type="dxa"/>
              <w:bottom w:w="0" w:type="dxa"/>
              <w:right w:w="15" w:type="dxa"/>
            </w:tcMar>
            <w:vAlign w:val="center"/>
          </w:tcPr>
          <w:p>
            <w:pPr>
              <w:rPr>
                <w:rFonts w:ascii="宋体" w:hAnsi="宋体" w:eastAsia="宋体" w:cs="宋体"/>
                <w:sz w:val="24"/>
                <w:szCs w:val="24"/>
              </w:rPr>
            </w:pPr>
            <w:r>
              <w:rPr>
                <w:rFonts w:hint="eastAsia"/>
              </w:rPr>
              <w:t>注：本表反映部门本年度取得的各项收入情况。</w:t>
            </w:r>
          </w:p>
        </w:tc>
      </w:tr>
    </w:tbl>
    <w:p>
      <w:pPr>
        <w:widowControl/>
        <w:jc w:val="left"/>
        <w:rPr>
          <w:rFonts w:ascii="Times New Roman" w:hAnsi="Times New Roman" w:eastAsia="黑体" w:cs="Times New Roman"/>
          <w:bCs/>
          <w:kern w:val="0"/>
          <w:sz w:val="32"/>
          <w:szCs w:val="32"/>
        </w:rPr>
      </w:pPr>
      <w:r>
        <w:rPr>
          <w:rFonts w:ascii="Times New Roman" w:hAnsi="Times New Roman" w:eastAsia="黑体" w:cs="Times New Roman"/>
          <w:bCs/>
          <w:kern w:val="0"/>
          <w:sz w:val="32"/>
          <w:szCs w:val="32"/>
        </w:rPr>
        <w:t xml:space="preserve"> </w:t>
      </w:r>
      <w:r>
        <w:rPr>
          <w:rFonts w:ascii="Times New Roman" w:hAnsi="Times New Roman" w:eastAsia="黑体" w:cs="Times New Roman"/>
          <w:bCs/>
          <w:kern w:val="0"/>
          <w:sz w:val="32"/>
          <w:szCs w:val="32"/>
        </w:rPr>
        <w:br w:type="page"/>
      </w:r>
    </w:p>
    <w:p>
      <w:pPr>
        <w:widowControl/>
        <w:rPr>
          <w:rFonts w:ascii="Times New Roman" w:hAnsi="Times New Roman" w:eastAsia="方正小标宋_GBK" w:cs="Times New Roman"/>
          <w:color w:val="000000"/>
          <w:kern w:val="0"/>
          <w:sz w:val="36"/>
          <w:szCs w:val="36"/>
        </w:rPr>
      </w:pPr>
    </w:p>
    <w:tbl>
      <w:tblPr>
        <w:tblStyle w:val="5"/>
        <w:tblW w:w="14023" w:type="dxa"/>
        <w:tblInd w:w="91" w:type="dxa"/>
        <w:tblLayout w:type="fixed"/>
        <w:tblCellMar>
          <w:top w:w="0" w:type="dxa"/>
          <w:left w:w="108" w:type="dxa"/>
          <w:bottom w:w="0" w:type="dxa"/>
          <w:right w:w="108" w:type="dxa"/>
        </w:tblCellMar>
      </w:tblPr>
      <w:tblGrid>
        <w:gridCol w:w="1030"/>
        <w:gridCol w:w="906"/>
        <w:gridCol w:w="250"/>
        <w:gridCol w:w="3113"/>
        <w:gridCol w:w="1454"/>
        <w:gridCol w:w="1454"/>
        <w:gridCol w:w="1454"/>
        <w:gridCol w:w="1454"/>
        <w:gridCol w:w="1454"/>
        <w:gridCol w:w="1454"/>
      </w:tblGrid>
      <w:tr>
        <w:tblPrEx>
          <w:tblCellMar>
            <w:top w:w="0" w:type="dxa"/>
            <w:left w:w="108" w:type="dxa"/>
            <w:bottom w:w="0" w:type="dxa"/>
            <w:right w:w="108" w:type="dxa"/>
          </w:tblCellMar>
        </w:tblPrEx>
        <w:trPr>
          <w:trHeight w:val="435" w:hRule="atLeast"/>
          <w:tblHeader/>
        </w:trPr>
        <w:tc>
          <w:tcPr>
            <w:tcW w:w="14023" w:type="dxa"/>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r>
              <w:rPr>
                <w:rFonts w:hint="eastAsia" w:ascii="华文中宋" w:hAnsi="华文中宋" w:eastAsia="华文中宋" w:cs="宋体"/>
                <w:color w:val="000000"/>
                <w:kern w:val="0"/>
                <w:sz w:val="32"/>
                <w:szCs w:val="32"/>
              </w:rPr>
              <w:t>支出决算表</w:t>
            </w:r>
          </w:p>
        </w:tc>
      </w:tr>
      <w:tr>
        <w:tblPrEx>
          <w:tblCellMar>
            <w:top w:w="0" w:type="dxa"/>
            <w:left w:w="108" w:type="dxa"/>
            <w:bottom w:w="0" w:type="dxa"/>
            <w:right w:w="108" w:type="dxa"/>
          </w:tblCellMar>
        </w:tblPrEx>
        <w:trPr>
          <w:trHeight w:val="285" w:hRule="atLeast"/>
          <w:tblHeader/>
        </w:trPr>
        <w:tc>
          <w:tcPr>
            <w:tcW w:w="1936"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50"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113"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公开03表</w:t>
            </w:r>
          </w:p>
        </w:tc>
      </w:tr>
      <w:tr>
        <w:tblPrEx>
          <w:tblCellMar>
            <w:top w:w="0" w:type="dxa"/>
            <w:left w:w="108" w:type="dxa"/>
            <w:bottom w:w="0" w:type="dxa"/>
            <w:right w:w="108" w:type="dxa"/>
          </w:tblCellMar>
        </w:tblPrEx>
        <w:trPr>
          <w:trHeight w:val="336" w:hRule="atLeast"/>
          <w:tblHeader/>
        </w:trPr>
        <w:tc>
          <w:tcPr>
            <w:tcW w:w="5299"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4"/>
                <w:szCs w:val="24"/>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val="en-US" w:eastAsia="zh-CN"/>
              </w:rPr>
              <w:t>湖南省食用菌研究所</w:t>
            </w: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454" w:type="dxa"/>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50" w:hRule="atLeast"/>
          <w:tblHeader/>
        </w:trPr>
        <w:tc>
          <w:tcPr>
            <w:tcW w:w="5299" w:type="dxa"/>
            <w:gridSpan w:val="4"/>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14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本年支出合计</w:t>
            </w:r>
          </w:p>
        </w:tc>
        <w:tc>
          <w:tcPr>
            <w:tcW w:w="14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基本支出</w:t>
            </w:r>
          </w:p>
        </w:tc>
        <w:tc>
          <w:tcPr>
            <w:tcW w:w="14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c>
          <w:tcPr>
            <w:tcW w:w="14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上缴上级支出</w:t>
            </w:r>
          </w:p>
        </w:tc>
        <w:tc>
          <w:tcPr>
            <w:tcW w:w="14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经营支出</w:t>
            </w:r>
          </w:p>
        </w:tc>
        <w:tc>
          <w:tcPr>
            <w:tcW w:w="1454" w:type="dxa"/>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对附属单位补助支出</w:t>
            </w:r>
          </w:p>
        </w:tc>
      </w:tr>
      <w:tr>
        <w:tblPrEx>
          <w:tblCellMar>
            <w:top w:w="0" w:type="dxa"/>
            <w:left w:w="108" w:type="dxa"/>
            <w:bottom w:w="0" w:type="dxa"/>
            <w:right w:w="108" w:type="dxa"/>
          </w:tblCellMar>
        </w:tblPrEx>
        <w:trPr>
          <w:trHeight w:val="450" w:hRule="atLeast"/>
          <w:tblHeader/>
        </w:trPr>
        <w:tc>
          <w:tcPr>
            <w:tcW w:w="2186" w:type="dxa"/>
            <w:gridSpan w:val="3"/>
            <w:vMerge w:val="restart"/>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3113"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blHeader/>
        </w:trPr>
        <w:tc>
          <w:tcPr>
            <w:tcW w:w="2186"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3113"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1454"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50" w:hRule="atLeast"/>
          <w:tblHeader/>
        </w:trPr>
        <w:tc>
          <w:tcPr>
            <w:tcW w:w="529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145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45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145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145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145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c>
          <w:tcPr>
            <w:tcW w:w="1454" w:type="dxa"/>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6</w:t>
            </w:r>
          </w:p>
        </w:tc>
      </w:tr>
      <w:tr>
        <w:tblPrEx>
          <w:tblCellMar>
            <w:top w:w="0" w:type="dxa"/>
            <w:left w:w="108" w:type="dxa"/>
            <w:bottom w:w="0" w:type="dxa"/>
            <w:right w:w="108" w:type="dxa"/>
          </w:tblCellMar>
        </w:tblPrEx>
        <w:trPr>
          <w:trHeight w:val="300" w:hRule="atLeast"/>
        </w:trPr>
        <w:tc>
          <w:tcPr>
            <w:tcW w:w="5299" w:type="dxa"/>
            <w:gridSpan w:val="4"/>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center"/>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合计</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813.97</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665.92</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148.04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201</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一般公共服务支出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20138</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市场监督管理事务</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2013810</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质量基础</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206</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科学技术支出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690.26</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549.48</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140.78</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20602</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基础研究</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18.60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18.60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2060203</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自然科学基金</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18.60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18.60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20603</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应用研究</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566.01</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549.48</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16.52</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2060301</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机构运行</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549.48</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549.48</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2060302</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社会公益研究</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9.52</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9.52</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2060399</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其他应用研究支出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7.00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7.00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20604</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技术研究与开发</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2060499</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其他技术研究与开发支出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20605</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科技条件与服务</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34.43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34.43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2060599</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其他科技条件与服务支出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34.43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34.43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20609</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科技重大项目</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47.24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47.24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2060902</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重点研发计划</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47.24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47.24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20699</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其他科学技术支出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10.00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10.00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2069999</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其他科学技术支出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10.00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10.00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208</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社会保障和就业支出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20805</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行政事业单位养老支出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2080505</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42.00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42.00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2080506</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机关事业单位职业年金缴费支出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22.00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22.00</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213</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农林水支出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21301</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农业农村</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2130109</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农产品质量安全</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0.08</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0.08</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2130122</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农业生产发展</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1.95</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1.95</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221</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住房保障支出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22102</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住房改革支出</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2210201</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41.13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r>
              <w:rPr>
                <w:rFonts w:hint="eastAsia" w:ascii="宋体" w:hAnsi="宋体" w:eastAsia="宋体" w:cs="宋体"/>
                <w:i w:val="0"/>
                <w:iCs w:val="0"/>
                <w:color w:val="000000"/>
                <w:kern w:val="0"/>
                <w:sz w:val="22"/>
                <w:szCs w:val="22"/>
                <w:u w:val="none"/>
                <w:lang w:val="en-US" w:eastAsia="zh-CN" w:bidi="ar"/>
              </w:rPr>
              <w:t>41.13</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kern w:val="0"/>
                <w:sz w:val="22"/>
                <w:szCs w:val="22"/>
              </w:rPr>
            </w:pPr>
          </w:p>
        </w:tc>
      </w:tr>
      <w:tr>
        <w:tblPrEx>
          <w:tblCellMar>
            <w:top w:w="0" w:type="dxa"/>
            <w:left w:w="108" w:type="dxa"/>
            <w:bottom w:w="0" w:type="dxa"/>
            <w:right w:w="108" w:type="dxa"/>
          </w:tblCellMar>
        </w:tblPrEx>
        <w:trPr>
          <w:trHeight w:val="300" w:hRule="atLeast"/>
        </w:trPr>
        <w:tc>
          <w:tcPr>
            <w:tcW w:w="1030" w:type="dxa"/>
            <w:tcBorders>
              <w:top w:val="single" w:color="auto" w:sz="4" w:space="0"/>
              <w:left w:val="single" w:color="auto" w:sz="4" w:space="0"/>
              <w:bottom w:val="single" w:color="auto" w:sz="4" w:space="0"/>
              <w:right w:val="single" w:color="auto" w:sz="4" w:space="0"/>
            </w:tcBorders>
            <w:shd w:val="clear" w:color="000000" w:fill="FFFFFF"/>
            <w:noWrap/>
            <w:vAlign w:val="center"/>
          </w:tcPr>
          <w:p>
            <w:pPr>
              <w:keepNext w:val="0"/>
              <w:keepLines w:val="0"/>
              <w:widowControl/>
              <w:suppressLineNumbers w:val="0"/>
              <w:jc w:val="both"/>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2210203</w:t>
            </w:r>
          </w:p>
        </w:tc>
        <w:tc>
          <w:tcPr>
            <w:tcW w:w="4269" w:type="dxa"/>
            <w:gridSpan w:val="3"/>
            <w:tcBorders>
              <w:top w:val="nil"/>
              <w:left w:val="nil"/>
              <w:bottom w:val="single" w:color="auto" w:sz="4" w:space="0"/>
              <w:right w:val="single" w:color="auto" w:sz="4" w:space="0"/>
            </w:tcBorders>
            <w:shd w:val="clear" w:color="000000" w:fill="FFFFFF"/>
            <w:noWrap/>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  购房补贴</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11.31</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11.31</w:t>
            </w: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c>
          <w:tcPr>
            <w:tcW w:w="1454"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2"/>
                <w:szCs w:val="22"/>
                <w:u w:val="none"/>
                <w:lang w:val="en-US" w:eastAsia="zh-CN" w:bidi="ar"/>
              </w:rPr>
            </w:pPr>
          </w:p>
        </w:tc>
      </w:tr>
      <w:tr>
        <w:tblPrEx>
          <w:tblCellMar>
            <w:top w:w="0" w:type="dxa"/>
            <w:left w:w="108" w:type="dxa"/>
            <w:bottom w:w="0" w:type="dxa"/>
            <w:right w:w="108" w:type="dxa"/>
          </w:tblCellMar>
        </w:tblPrEx>
        <w:trPr>
          <w:trHeight w:val="630" w:hRule="atLeast"/>
        </w:trPr>
        <w:tc>
          <w:tcPr>
            <w:tcW w:w="14023" w:type="dxa"/>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注：本表反映部门本年度各项支出情况。</w:t>
            </w:r>
          </w:p>
        </w:tc>
      </w:tr>
    </w:tbl>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p>
      <w:pPr>
        <w:widowControl/>
        <w:ind w:left="93"/>
        <w:jc w:val="center"/>
        <w:rPr>
          <w:rFonts w:ascii="Times New Roman" w:hAnsi="Times New Roman" w:eastAsia="方正小标宋_GBK" w:cs="Times New Roman"/>
          <w:color w:val="000000"/>
          <w:kern w:val="0"/>
          <w:sz w:val="36"/>
          <w:szCs w:val="21"/>
        </w:rPr>
      </w:pPr>
    </w:p>
    <w:tbl>
      <w:tblPr>
        <w:tblStyle w:val="5"/>
        <w:tblW w:w="4992" w:type="pct"/>
        <w:tblInd w:w="0" w:type="dxa"/>
        <w:tblLayout w:type="autofit"/>
        <w:tblCellMar>
          <w:top w:w="0" w:type="dxa"/>
          <w:left w:w="108" w:type="dxa"/>
          <w:bottom w:w="0" w:type="dxa"/>
          <w:right w:w="108" w:type="dxa"/>
        </w:tblCellMar>
      </w:tblPr>
      <w:tblGrid>
        <w:gridCol w:w="4150"/>
        <w:gridCol w:w="646"/>
        <w:gridCol w:w="1230"/>
        <w:gridCol w:w="3022"/>
        <w:gridCol w:w="553"/>
        <w:gridCol w:w="250"/>
        <w:gridCol w:w="1583"/>
        <w:gridCol w:w="1305"/>
        <w:gridCol w:w="1305"/>
        <w:gridCol w:w="1568"/>
      </w:tblGrid>
      <w:tr>
        <w:tblPrEx>
          <w:tblCellMar>
            <w:top w:w="0" w:type="dxa"/>
            <w:left w:w="108" w:type="dxa"/>
            <w:bottom w:w="0" w:type="dxa"/>
            <w:right w:w="108" w:type="dxa"/>
          </w:tblCellMar>
        </w:tblPrEx>
        <w:trPr>
          <w:trHeight w:val="360" w:hRule="atLeast"/>
        </w:trPr>
        <w:tc>
          <w:tcPr>
            <w:tcW w:w="5000" w:type="pct"/>
            <w:gridSpan w:val="10"/>
            <w:tcBorders>
              <w:top w:val="nil"/>
              <w:left w:val="nil"/>
              <w:bottom w:val="nil"/>
              <w:right w:val="nil"/>
            </w:tcBorders>
            <w:shd w:val="clear" w:color="auto" w:fill="auto"/>
            <w:noWrap/>
            <w:vAlign w:val="center"/>
          </w:tcPr>
          <w:p>
            <w:pPr>
              <w:widowControl/>
              <w:jc w:val="center"/>
              <w:rPr>
                <w:rFonts w:ascii="华文中宋" w:hAnsi="华文中宋" w:eastAsia="华文中宋" w:cs="宋体"/>
                <w:color w:val="000000"/>
                <w:kern w:val="0"/>
                <w:sz w:val="32"/>
                <w:szCs w:val="32"/>
              </w:rPr>
            </w:pPr>
            <w:bookmarkStart w:id="0" w:name="RANGE!A1:I22"/>
            <w:bookmarkEnd w:id="0"/>
            <w:bookmarkStart w:id="1" w:name="RANGE!A1:F16"/>
            <w:r>
              <w:rPr>
                <w:rFonts w:hint="eastAsia" w:ascii="华文中宋" w:hAnsi="华文中宋" w:eastAsia="华文中宋" w:cs="宋体"/>
                <w:color w:val="000000"/>
                <w:kern w:val="0"/>
                <w:sz w:val="32"/>
                <w:szCs w:val="32"/>
              </w:rPr>
              <w:t>财政拨款收入支出决算总表</w:t>
            </w:r>
          </w:p>
        </w:tc>
      </w:tr>
      <w:tr>
        <w:tblPrEx>
          <w:tblCellMar>
            <w:top w:w="0" w:type="dxa"/>
            <w:left w:w="108" w:type="dxa"/>
            <w:bottom w:w="0" w:type="dxa"/>
            <w:right w:w="108" w:type="dxa"/>
          </w:tblCellMar>
        </w:tblPrEx>
        <w:trPr>
          <w:trHeight w:val="199" w:hRule="atLeast"/>
        </w:trPr>
        <w:tc>
          <w:tcPr>
            <w:tcW w:w="1329"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207"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93"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45"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80"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07"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18"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18"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97" w:type="pct"/>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公开04表</w:t>
            </w:r>
          </w:p>
        </w:tc>
      </w:tr>
      <w:tr>
        <w:tblPrEx>
          <w:tblCellMar>
            <w:top w:w="0" w:type="dxa"/>
            <w:left w:w="108" w:type="dxa"/>
            <w:bottom w:w="0" w:type="dxa"/>
            <w:right w:w="108" w:type="dxa"/>
          </w:tblCellMar>
        </w:tblPrEx>
        <w:trPr>
          <w:trHeight w:val="300" w:hRule="atLeast"/>
        </w:trPr>
        <w:tc>
          <w:tcPr>
            <w:tcW w:w="1329" w:type="pct"/>
            <w:tcBorders>
              <w:top w:val="nil"/>
              <w:left w:val="nil"/>
              <w:bottom w:val="nil"/>
              <w:right w:val="nil"/>
            </w:tcBorders>
            <w:shd w:val="clear" w:color="000000" w:fill="FFFFFF"/>
            <w:noWrap/>
            <w:vAlign w:val="center"/>
          </w:tcPr>
          <w:p>
            <w:pPr>
              <w:widowControl/>
              <w:jc w:val="left"/>
              <w:rPr>
                <w:rFonts w:hint="default"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val="en-US" w:eastAsia="zh-CN"/>
              </w:rPr>
              <w:t>湖南省食用菌研究所</w:t>
            </w:r>
          </w:p>
        </w:tc>
        <w:tc>
          <w:tcPr>
            <w:tcW w:w="207"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393"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1145" w:type="pct"/>
            <w:gridSpan w:val="2"/>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80"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507"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18"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18" w:type="pct"/>
            <w:tcBorders>
              <w:top w:val="nil"/>
              <w:left w:val="nil"/>
              <w:bottom w:val="nil"/>
              <w:right w:val="nil"/>
            </w:tcBorders>
            <w:shd w:val="clear" w:color="000000" w:fill="FFFFFF"/>
            <w:noWrap/>
            <w:vAlign w:val="center"/>
          </w:tcPr>
          <w:p>
            <w:pPr>
              <w:widowControl/>
              <w:jc w:val="right"/>
              <w:rPr>
                <w:rFonts w:ascii="宋体" w:hAnsi="宋体" w:eastAsia="宋体" w:cs="宋体"/>
                <w:kern w:val="0"/>
                <w:sz w:val="24"/>
                <w:szCs w:val="24"/>
              </w:rPr>
            </w:pPr>
            <w:r>
              <w:rPr>
                <w:rFonts w:hint="eastAsia" w:ascii="宋体" w:hAnsi="宋体" w:eastAsia="宋体" w:cs="宋体"/>
                <w:kern w:val="0"/>
                <w:sz w:val="24"/>
                <w:szCs w:val="24"/>
              </w:rPr>
              <w:t>　</w:t>
            </w:r>
          </w:p>
        </w:tc>
        <w:tc>
          <w:tcPr>
            <w:tcW w:w="497" w:type="pct"/>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1930" w:type="pct"/>
            <w:gridSpan w:val="3"/>
            <w:tcBorders>
              <w:top w:val="single" w:color="auto" w:sz="4" w:space="0"/>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收入</w:t>
            </w:r>
          </w:p>
        </w:tc>
        <w:tc>
          <w:tcPr>
            <w:tcW w:w="3069" w:type="pct"/>
            <w:gridSpan w:val="7"/>
            <w:tcBorders>
              <w:top w:val="single" w:color="auto" w:sz="4" w:space="0"/>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支出</w:t>
            </w:r>
          </w:p>
        </w:tc>
      </w:tr>
      <w:tr>
        <w:tblPrEx>
          <w:tblCellMar>
            <w:top w:w="0" w:type="dxa"/>
            <w:left w:w="108" w:type="dxa"/>
            <w:bottom w:w="0" w:type="dxa"/>
            <w:right w:w="108" w:type="dxa"/>
          </w:tblCellMar>
        </w:tblPrEx>
        <w:trPr>
          <w:trHeight w:val="630"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39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金额</w:t>
            </w:r>
          </w:p>
        </w:tc>
        <w:tc>
          <w:tcPr>
            <w:tcW w:w="96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    目</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行次</w:t>
            </w:r>
          </w:p>
        </w:tc>
        <w:tc>
          <w:tcPr>
            <w:tcW w:w="5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41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一般公共预算财政拨款</w:t>
            </w:r>
          </w:p>
        </w:tc>
        <w:tc>
          <w:tcPr>
            <w:tcW w:w="41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政府性基金预算财政拨款</w:t>
            </w:r>
          </w:p>
        </w:tc>
        <w:tc>
          <w:tcPr>
            <w:tcW w:w="497"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国有资本经营预算财政拨款</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93"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96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    次</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5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41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c>
          <w:tcPr>
            <w:tcW w:w="41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4</w:t>
            </w:r>
          </w:p>
        </w:tc>
        <w:tc>
          <w:tcPr>
            <w:tcW w:w="49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5</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一、一般公共预算财政拨款</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1</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707.02</w:t>
            </w: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一、一般公共服务支出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19</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5.24</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5.24</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二、政府性基金预算财政拨款</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二、外交支出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20</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三、国有资本经营预算财政拨款</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3</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三、国防支出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rPr>
              <w:t>21</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4</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四、公共安全支出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rPr>
              <w:t>22</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5</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五、教育支出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23</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6</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六、科学技术支出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24</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568.16</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568.16</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7</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25</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8</w:t>
            </w:r>
          </w:p>
        </w:tc>
        <w:tc>
          <w:tcPr>
            <w:tcW w:w="393"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八、社会保障和就业支出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26</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64</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64</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2"/>
                <w:lang w:val="en-US" w:eastAsia="zh-CN"/>
              </w:rPr>
            </w:pPr>
            <w:r>
              <w:rPr>
                <w:rFonts w:hint="eastAsia" w:ascii="宋体" w:hAnsi="宋体" w:eastAsia="宋体" w:cs="宋体"/>
                <w:kern w:val="0"/>
                <w:sz w:val="22"/>
                <w:lang w:val="en-US" w:eastAsia="zh-CN"/>
              </w:rPr>
              <w:t>9</w:t>
            </w:r>
          </w:p>
        </w:tc>
        <w:tc>
          <w:tcPr>
            <w:tcW w:w="393"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4"/>
                <w:szCs w:val="24"/>
              </w:rPr>
              <w:t>……</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27</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10</w:t>
            </w:r>
          </w:p>
        </w:tc>
        <w:tc>
          <w:tcPr>
            <w:tcW w:w="393"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十二、农林水支出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28</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2.03</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2.03</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11</w:t>
            </w:r>
          </w:p>
        </w:tc>
        <w:tc>
          <w:tcPr>
            <w:tcW w:w="393"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r>
              <w:rPr>
                <w:rFonts w:hint="eastAsia" w:ascii="宋体" w:hAnsi="宋体" w:eastAsia="宋体" w:cs="宋体"/>
                <w:kern w:val="0"/>
                <w:sz w:val="24"/>
                <w:szCs w:val="24"/>
              </w:rPr>
              <w:t>……</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29</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12</w:t>
            </w:r>
          </w:p>
        </w:tc>
        <w:tc>
          <w:tcPr>
            <w:tcW w:w="393" w:type="pct"/>
            <w:tcBorders>
              <w:top w:val="nil"/>
              <w:left w:val="nil"/>
              <w:bottom w:val="single" w:color="auto" w:sz="4" w:space="0"/>
              <w:right w:val="single" w:color="auto" w:sz="4" w:space="0"/>
            </w:tcBorders>
            <w:shd w:val="clear" w:color="auto" w:fill="auto"/>
            <w:noWrap/>
            <w:vAlign w:val="center"/>
          </w:tcPr>
          <w:p>
            <w:pPr>
              <w:widowControl/>
              <w:jc w:val="left"/>
              <w:rPr>
                <w:rFonts w:hint="eastAsia" w:ascii="宋体" w:hAnsi="宋体" w:eastAsia="宋体" w:cs="宋体"/>
                <w:kern w:val="0"/>
                <w:sz w:val="22"/>
              </w:rPr>
            </w:pP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十九、住房保障支出</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30</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52.44</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52.44</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kern w:val="0"/>
                <w:sz w:val="22"/>
              </w:rPr>
            </w:pP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本年收入合计</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13</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707.02</w:t>
            </w: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本年支出合计</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szCs w:val="22"/>
                <w:lang w:val="en-US" w:eastAsia="zh-CN" w:bidi="ar-SA"/>
              </w:rPr>
            </w:pPr>
            <w:r>
              <w:rPr>
                <w:rFonts w:hint="eastAsia" w:ascii="宋体" w:hAnsi="宋体" w:eastAsia="宋体" w:cs="宋体"/>
                <w:kern w:val="0"/>
                <w:sz w:val="22"/>
                <w:lang w:val="en-US" w:eastAsia="zh-CN"/>
              </w:rPr>
              <w:t>31</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691.87</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691.87</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b/>
                <w:bCs/>
                <w:kern w:val="0"/>
                <w:sz w:val="22"/>
              </w:rPr>
            </w:pPr>
            <w:r>
              <w:rPr>
                <w:rFonts w:hint="eastAsia" w:ascii="宋体" w:hAnsi="宋体" w:eastAsia="宋体" w:cs="宋体"/>
                <w:b/>
                <w:bCs/>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年初财政拨款结转和结余</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14</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112.75</w:t>
            </w: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年末财政拨款结转和结余</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32</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127.9</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127.9</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一般公共预算财政拨款</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15</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112.75</w:t>
            </w: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33</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政府性基金预算财政拨款</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16</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26</w:t>
            </w:r>
          </w:p>
        </w:tc>
        <w:tc>
          <w:tcPr>
            <w:tcW w:w="50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国有资本经营预算财政拨款</w:t>
            </w:r>
          </w:p>
        </w:tc>
        <w:tc>
          <w:tcPr>
            <w:tcW w:w="207" w:type="pct"/>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17</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c>
          <w:tcPr>
            <w:tcW w:w="256" w:type="pct"/>
            <w:gridSpan w:val="2"/>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27</w:t>
            </w:r>
          </w:p>
        </w:tc>
        <w:tc>
          <w:tcPr>
            <w:tcW w:w="507"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　</w:t>
            </w:r>
          </w:p>
        </w:tc>
        <w:tc>
          <w:tcPr>
            <w:tcW w:w="497" w:type="pct"/>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kern w:val="0"/>
                <w:sz w:val="22"/>
              </w:rPr>
            </w:pPr>
            <w:r>
              <w:rPr>
                <w:rFonts w:hint="eastAsia" w:ascii="宋体" w:hAnsi="宋体" w:eastAsia="宋体" w:cs="宋体"/>
                <w:kern w:val="0"/>
                <w:sz w:val="22"/>
              </w:rPr>
              <w:t>　</w:t>
            </w:r>
          </w:p>
        </w:tc>
      </w:tr>
      <w:tr>
        <w:tblPrEx>
          <w:tblCellMar>
            <w:top w:w="0" w:type="dxa"/>
            <w:left w:w="108" w:type="dxa"/>
            <w:bottom w:w="0" w:type="dxa"/>
            <w:right w:w="108" w:type="dxa"/>
          </w:tblCellMar>
        </w:tblPrEx>
        <w:trPr>
          <w:trHeight w:val="283" w:hRule="atLeast"/>
        </w:trPr>
        <w:tc>
          <w:tcPr>
            <w:tcW w:w="1329" w:type="pct"/>
            <w:tcBorders>
              <w:top w:val="nil"/>
              <w:left w:val="single" w:color="auto" w:sz="4" w:space="0"/>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207" w:type="pct"/>
            <w:tcBorders>
              <w:top w:val="nil"/>
              <w:left w:val="nil"/>
              <w:bottom w:val="single" w:color="auto" w:sz="4" w:space="0"/>
              <w:right w:val="single" w:color="auto" w:sz="4" w:space="0"/>
            </w:tcBorders>
            <w:shd w:val="clear" w:color="000000" w:fill="FFFFFF"/>
            <w:noWrap/>
            <w:vAlign w:val="center"/>
          </w:tcPr>
          <w:p>
            <w:pPr>
              <w:widowControl/>
              <w:jc w:val="center"/>
              <w:rPr>
                <w:rFonts w:hint="default" w:ascii="宋体" w:hAnsi="宋体" w:eastAsia="宋体" w:cs="宋体"/>
                <w:kern w:val="0"/>
                <w:sz w:val="22"/>
                <w:lang w:val="en-US" w:eastAsia="zh-CN"/>
              </w:rPr>
            </w:pPr>
            <w:r>
              <w:rPr>
                <w:rFonts w:hint="eastAsia" w:ascii="宋体" w:hAnsi="宋体" w:eastAsia="宋体" w:cs="宋体"/>
                <w:kern w:val="0"/>
                <w:sz w:val="22"/>
                <w:lang w:val="en-US" w:eastAsia="zh-CN"/>
              </w:rPr>
              <w:t>18</w:t>
            </w:r>
          </w:p>
        </w:tc>
        <w:tc>
          <w:tcPr>
            <w:tcW w:w="393" w:type="pct"/>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819.77</w:t>
            </w:r>
            <w:r>
              <w:rPr>
                <w:rFonts w:hint="eastAsia" w:ascii="宋体" w:hAnsi="宋体" w:eastAsia="宋体" w:cs="宋体"/>
                <w:kern w:val="0"/>
                <w:sz w:val="22"/>
              </w:rPr>
              <w:t>　</w:t>
            </w:r>
          </w:p>
        </w:tc>
        <w:tc>
          <w:tcPr>
            <w:tcW w:w="968" w:type="pct"/>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b/>
                <w:bCs/>
                <w:kern w:val="0"/>
                <w:sz w:val="22"/>
              </w:rPr>
            </w:pPr>
            <w:r>
              <w:rPr>
                <w:rFonts w:hint="eastAsia" w:ascii="宋体" w:hAnsi="宋体" w:eastAsia="宋体" w:cs="宋体"/>
                <w:b/>
                <w:bCs/>
                <w:kern w:val="0"/>
                <w:sz w:val="22"/>
              </w:rPr>
              <w:t>总计</w:t>
            </w:r>
          </w:p>
        </w:tc>
        <w:tc>
          <w:tcPr>
            <w:tcW w:w="256" w:type="pct"/>
            <w:gridSpan w:val="2"/>
            <w:tcBorders>
              <w:top w:val="nil"/>
              <w:left w:val="nil"/>
              <w:bottom w:val="single" w:color="auto" w:sz="4" w:space="0"/>
              <w:right w:val="single" w:color="auto" w:sz="4" w:space="0"/>
            </w:tcBorders>
            <w:shd w:val="clear" w:color="000000" w:fill="FFFFFF"/>
            <w:noWrap/>
            <w:vAlign w:val="center"/>
          </w:tcPr>
          <w:p>
            <w:pPr>
              <w:widowControl/>
              <w:jc w:val="center"/>
              <w:rPr>
                <w:rFonts w:ascii="宋体" w:hAnsi="宋体" w:eastAsia="宋体" w:cs="宋体"/>
                <w:kern w:val="0"/>
                <w:sz w:val="22"/>
              </w:rPr>
            </w:pPr>
            <w:r>
              <w:rPr>
                <w:rFonts w:hint="eastAsia" w:ascii="宋体" w:hAnsi="宋体" w:eastAsia="宋体" w:cs="宋体"/>
                <w:kern w:val="0"/>
                <w:sz w:val="22"/>
              </w:rPr>
              <w:t>28</w:t>
            </w:r>
          </w:p>
        </w:tc>
        <w:tc>
          <w:tcPr>
            <w:tcW w:w="507" w:type="pct"/>
            <w:tcBorders>
              <w:top w:val="nil"/>
              <w:left w:val="nil"/>
              <w:bottom w:val="single" w:color="auto" w:sz="4" w:space="0"/>
              <w:right w:val="single" w:color="auto" w:sz="4" w:space="0"/>
            </w:tcBorders>
            <w:shd w:val="clear" w:color="000000" w:fill="FFFFFF"/>
            <w:noWrap/>
            <w:vAlign w:val="center"/>
          </w:tcPr>
          <w:p>
            <w:pPr>
              <w:widowControl/>
              <w:jc w:val="right"/>
              <w:rPr>
                <w:rFonts w:ascii="宋体" w:hAnsi="宋体" w:eastAsia="宋体" w:cs="宋体"/>
                <w:kern w:val="0"/>
                <w:sz w:val="22"/>
              </w:rPr>
            </w:pPr>
            <w:r>
              <w:rPr>
                <w:rFonts w:hint="eastAsia" w:ascii="宋体" w:hAnsi="宋体" w:eastAsia="宋体" w:cs="宋体"/>
                <w:kern w:val="0"/>
                <w:sz w:val="22"/>
                <w:lang w:val="en-US" w:eastAsia="zh-CN"/>
              </w:rPr>
              <w:t>819.77</w:t>
            </w:r>
            <w:r>
              <w:rPr>
                <w:rFonts w:hint="eastAsia" w:ascii="宋体" w:hAnsi="宋体" w:eastAsia="宋体" w:cs="宋体"/>
                <w:kern w:val="0"/>
                <w:sz w:val="22"/>
              </w:rPr>
              <w:t>　</w:t>
            </w:r>
          </w:p>
        </w:tc>
        <w:tc>
          <w:tcPr>
            <w:tcW w:w="418" w:type="pct"/>
            <w:tcBorders>
              <w:top w:val="nil"/>
              <w:left w:val="nil"/>
              <w:bottom w:val="single" w:color="auto" w:sz="4" w:space="0"/>
              <w:right w:val="single" w:color="auto" w:sz="4" w:space="0"/>
            </w:tcBorders>
            <w:shd w:val="clear" w:color="000000" w:fill="FFFFFF"/>
            <w:noWrap/>
            <w:vAlign w:val="center"/>
          </w:tcPr>
          <w:p>
            <w:pPr>
              <w:widowControl/>
              <w:jc w:val="right"/>
              <w:rPr>
                <w:rFonts w:hint="default" w:ascii="宋体" w:hAnsi="宋体" w:eastAsia="宋体" w:cs="宋体"/>
                <w:kern w:val="0"/>
                <w:sz w:val="22"/>
                <w:lang w:val="en-US" w:eastAsia="zh-CN"/>
              </w:rPr>
            </w:pPr>
            <w:r>
              <w:rPr>
                <w:rFonts w:hint="eastAsia" w:ascii="宋体" w:hAnsi="宋体" w:eastAsia="宋体" w:cs="宋体"/>
                <w:kern w:val="0"/>
                <w:sz w:val="22"/>
              </w:rPr>
              <w:t>　</w:t>
            </w:r>
            <w:r>
              <w:rPr>
                <w:rFonts w:hint="eastAsia" w:ascii="宋体" w:hAnsi="宋体" w:eastAsia="宋体" w:cs="宋体"/>
                <w:kern w:val="0"/>
                <w:sz w:val="22"/>
                <w:lang w:val="en-US" w:eastAsia="zh-CN"/>
              </w:rPr>
              <w:t>819.77</w:t>
            </w:r>
          </w:p>
        </w:tc>
        <w:tc>
          <w:tcPr>
            <w:tcW w:w="418"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lang w:val="en-US" w:eastAsia="zh-CN"/>
              </w:rPr>
            </w:pPr>
            <w:r>
              <w:rPr>
                <w:rFonts w:hint="eastAsia" w:ascii="宋体" w:hAnsi="宋体" w:eastAsia="宋体" w:cs="宋体"/>
                <w:b w:val="0"/>
                <w:bCs w:val="0"/>
                <w:kern w:val="0"/>
                <w:sz w:val="22"/>
              </w:rPr>
              <w:t>　</w:t>
            </w:r>
            <w:r>
              <w:rPr>
                <w:rFonts w:hint="eastAsia" w:ascii="宋体" w:hAnsi="宋体" w:eastAsia="宋体" w:cs="宋体"/>
                <w:b w:val="0"/>
                <w:bCs w:val="0"/>
                <w:kern w:val="0"/>
                <w:sz w:val="22"/>
                <w:lang w:val="en-US" w:eastAsia="zh-CN"/>
              </w:rPr>
              <w:t>0</w:t>
            </w:r>
          </w:p>
        </w:tc>
        <w:tc>
          <w:tcPr>
            <w:tcW w:w="497" w:type="pct"/>
            <w:tcBorders>
              <w:top w:val="nil"/>
              <w:left w:val="nil"/>
              <w:bottom w:val="single" w:color="auto" w:sz="4" w:space="0"/>
              <w:right w:val="single" w:color="auto" w:sz="4" w:space="0"/>
            </w:tcBorders>
            <w:shd w:val="clear" w:color="auto" w:fill="auto"/>
            <w:noWrap/>
            <w:vAlign w:val="center"/>
          </w:tcPr>
          <w:p>
            <w:pPr>
              <w:widowControl/>
              <w:jc w:val="right"/>
              <w:rPr>
                <w:rFonts w:hint="eastAsia" w:ascii="宋体" w:hAnsi="宋体" w:eastAsia="宋体" w:cs="宋体"/>
                <w:b w:val="0"/>
                <w:bCs w:val="0"/>
                <w:kern w:val="0"/>
                <w:sz w:val="22"/>
                <w:lang w:val="en-US" w:eastAsia="zh-CN"/>
              </w:rPr>
            </w:pPr>
            <w:r>
              <w:rPr>
                <w:rFonts w:hint="eastAsia" w:ascii="宋体" w:hAnsi="宋体" w:eastAsia="宋体" w:cs="宋体"/>
                <w:b w:val="0"/>
                <w:bCs w:val="0"/>
                <w:kern w:val="0"/>
                <w:sz w:val="22"/>
              </w:rPr>
              <w:t>　</w:t>
            </w:r>
            <w:r>
              <w:rPr>
                <w:rFonts w:hint="eastAsia" w:ascii="宋体" w:hAnsi="宋体" w:eastAsia="宋体" w:cs="宋体"/>
                <w:b w:val="0"/>
                <w:bCs w:val="0"/>
                <w:kern w:val="0"/>
                <w:sz w:val="22"/>
                <w:lang w:val="en-US" w:eastAsia="zh-CN"/>
              </w:rPr>
              <w:t>0</w:t>
            </w:r>
          </w:p>
        </w:tc>
      </w:tr>
      <w:tr>
        <w:tblPrEx>
          <w:tblCellMar>
            <w:top w:w="0" w:type="dxa"/>
            <w:left w:w="108" w:type="dxa"/>
            <w:bottom w:w="0" w:type="dxa"/>
            <w:right w:w="108" w:type="dxa"/>
          </w:tblCellMar>
        </w:tblPrEx>
        <w:trPr>
          <w:trHeight w:val="585" w:hRule="atLeast"/>
        </w:trPr>
        <w:tc>
          <w:tcPr>
            <w:tcW w:w="5000" w:type="pct"/>
            <w:gridSpan w:val="10"/>
            <w:tcBorders>
              <w:top w:val="nil"/>
              <w:left w:val="nil"/>
              <w:bottom w:val="nil"/>
              <w:right w:val="nil"/>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注：本表反映部门本年度一般公共预算财政拨款、政府性基金预算财政拨款和国有资本经营预算财政拨款的总收支和年末结转结余情况。</w:t>
            </w:r>
          </w:p>
        </w:tc>
      </w:tr>
    </w:tbl>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p>
    <w:p>
      <w:pPr>
        <w:widowControl/>
        <w:jc w:val="center"/>
        <w:rPr>
          <w:rFonts w:ascii="Times New Roman" w:hAnsi="Times New Roman" w:eastAsia="方正小标宋_GBK" w:cs="Times New Roman"/>
          <w:kern w:val="0"/>
          <w:sz w:val="36"/>
          <w:szCs w:val="36"/>
        </w:rPr>
      </w:pPr>
      <w:bookmarkStart w:id="4" w:name="_GoBack"/>
      <w:bookmarkEnd w:id="4"/>
    </w:p>
    <w:p>
      <w:pPr>
        <w:widowControl/>
        <w:jc w:val="center"/>
        <w:rPr>
          <w:rFonts w:ascii="Times New Roman" w:hAnsi="Times New Roman" w:eastAsia="方正小标宋_GBK" w:cs="Times New Roman"/>
          <w:kern w:val="0"/>
          <w:sz w:val="36"/>
          <w:szCs w:val="36"/>
        </w:rPr>
      </w:pPr>
    </w:p>
    <w:tbl>
      <w:tblPr>
        <w:tblStyle w:val="5"/>
        <w:tblW w:w="14219" w:type="dxa"/>
        <w:tblInd w:w="709" w:type="dxa"/>
        <w:shd w:val="clear" w:color="auto" w:fill="auto"/>
        <w:tblLayout w:type="autofit"/>
        <w:tblCellMar>
          <w:top w:w="0" w:type="dxa"/>
          <w:left w:w="108" w:type="dxa"/>
          <w:bottom w:w="0" w:type="dxa"/>
          <w:right w:w="108" w:type="dxa"/>
        </w:tblCellMar>
      </w:tblPr>
      <w:tblGrid>
        <w:gridCol w:w="1900"/>
        <w:gridCol w:w="862"/>
        <w:gridCol w:w="263"/>
        <w:gridCol w:w="263"/>
        <w:gridCol w:w="2615"/>
        <w:gridCol w:w="1661"/>
        <w:gridCol w:w="825"/>
        <w:gridCol w:w="989"/>
        <w:gridCol w:w="1814"/>
        <w:gridCol w:w="183"/>
        <w:gridCol w:w="2844"/>
      </w:tblGrid>
      <w:tr>
        <w:tblPrEx>
          <w:shd w:val="clear" w:color="auto" w:fill="auto"/>
          <w:tblCellMar>
            <w:top w:w="0" w:type="dxa"/>
            <w:left w:w="108" w:type="dxa"/>
            <w:bottom w:w="0" w:type="dxa"/>
            <w:right w:w="108" w:type="dxa"/>
          </w:tblCellMar>
        </w:tblPrEx>
        <w:trPr>
          <w:trHeight w:val="375" w:hRule="atLeast"/>
          <w:tblHeader/>
        </w:trPr>
        <w:tc>
          <w:tcPr>
            <w:tcW w:w="14219" w:type="dxa"/>
            <w:gridSpan w:val="11"/>
            <w:tcBorders>
              <w:top w:val="nil"/>
              <w:left w:val="nil"/>
              <w:bottom w:val="nil"/>
              <w:right w:val="nil"/>
            </w:tcBorders>
            <w:shd w:val="clear" w:color="auto" w:fill="FFFFFF"/>
            <w:noWrap/>
            <w:vAlign w:val="center"/>
          </w:tcPr>
          <w:p>
            <w:pPr>
              <w:jc w:val="center"/>
              <w:rPr>
                <w:rFonts w:hint="eastAsia" w:ascii="宋体" w:hAnsi="宋体" w:eastAsia="宋体" w:cs="宋体"/>
                <w:i w:val="0"/>
                <w:iCs w:val="0"/>
                <w:color w:val="000000"/>
                <w:sz w:val="18"/>
                <w:szCs w:val="18"/>
                <w:u w:val="none"/>
              </w:rPr>
            </w:pPr>
            <w:r>
              <w:rPr>
                <w:rFonts w:hint="eastAsia" w:ascii="华文中宋" w:hAnsi="华文中宋" w:eastAsia="华文中宋" w:cs="宋体"/>
                <w:color w:val="000000"/>
                <w:kern w:val="0"/>
                <w:sz w:val="32"/>
                <w:szCs w:val="32"/>
                <w:lang w:val="en-US" w:eastAsia="zh-CN"/>
              </w:rPr>
              <w:t>一般公共预算财政拨款支出决算表</w:t>
            </w:r>
          </w:p>
        </w:tc>
      </w:tr>
      <w:tr>
        <w:tblPrEx>
          <w:shd w:val="clear" w:color="auto" w:fill="auto"/>
          <w:tblCellMar>
            <w:top w:w="0" w:type="dxa"/>
            <w:left w:w="108" w:type="dxa"/>
            <w:bottom w:w="0" w:type="dxa"/>
            <w:right w:w="108" w:type="dxa"/>
          </w:tblCellMar>
        </w:tblPrEx>
        <w:trPr>
          <w:trHeight w:val="300" w:hRule="atLeast"/>
          <w:tblHeader/>
        </w:trPr>
        <w:tc>
          <w:tcPr>
            <w:tcW w:w="2762"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63"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263"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4276"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14" w:type="dxa"/>
            <w:gridSpan w:val="2"/>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14" w:type="dxa"/>
            <w:tcBorders>
              <w:top w:val="nil"/>
              <w:left w:val="nil"/>
              <w:bottom w:val="nil"/>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027" w:type="dxa"/>
            <w:gridSpan w:val="2"/>
            <w:tcBorders>
              <w:top w:val="nil"/>
              <w:left w:val="nil"/>
              <w:bottom w:val="nil"/>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公开05表</w:t>
            </w:r>
          </w:p>
        </w:tc>
      </w:tr>
      <w:tr>
        <w:tblPrEx>
          <w:shd w:val="clear" w:color="auto" w:fill="auto"/>
          <w:tblCellMar>
            <w:top w:w="0" w:type="dxa"/>
            <w:left w:w="108" w:type="dxa"/>
            <w:bottom w:w="0" w:type="dxa"/>
            <w:right w:w="108" w:type="dxa"/>
          </w:tblCellMar>
        </w:tblPrEx>
        <w:trPr>
          <w:trHeight w:val="300" w:hRule="atLeast"/>
          <w:tblHeader/>
        </w:trPr>
        <w:tc>
          <w:tcPr>
            <w:tcW w:w="3288" w:type="dxa"/>
            <w:gridSpan w:val="4"/>
            <w:tcBorders>
              <w:top w:val="nil"/>
              <w:left w:val="nil"/>
              <w:bottom w:val="single" w:color="auto"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22"/>
                <w:szCs w:val="22"/>
                <w:u w:val="none"/>
                <w:lang w:val="en-US" w:eastAsia="zh-CN" w:bidi="ar"/>
              </w:rPr>
              <w:t>部门：湖南省食用菌研究所</w:t>
            </w:r>
          </w:p>
        </w:tc>
        <w:tc>
          <w:tcPr>
            <w:tcW w:w="4276" w:type="dxa"/>
            <w:gridSpan w:val="2"/>
            <w:tcBorders>
              <w:top w:val="nil"/>
              <w:left w:val="nil"/>
              <w:bottom w:val="single" w:color="auto" w:sz="4" w:space="0"/>
              <w:right w:val="nil"/>
            </w:tcBorders>
            <w:shd w:val="clear" w:color="auto" w:fill="FFFFFF"/>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814" w:type="dxa"/>
            <w:gridSpan w:val="2"/>
            <w:tcBorders>
              <w:top w:val="nil"/>
              <w:left w:val="nil"/>
              <w:bottom w:val="single" w:color="auto"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1814" w:type="dxa"/>
            <w:tcBorders>
              <w:top w:val="nil"/>
              <w:left w:val="nil"/>
              <w:bottom w:val="single" w:color="auto" w:sz="4" w:space="0"/>
              <w:right w:val="nil"/>
            </w:tcBorders>
            <w:shd w:val="clear" w:color="auto" w:fill="FFFFFF"/>
            <w:noWrap/>
            <w:vAlign w:val="center"/>
          </w:tcPr>
          <w:p>
            <w:pPr>
              <w:jc w:val="left"/>
              <w:rPr>
                <w:rFonts w:hint="eastAsia" w:ascii="宋体" w:hAnsi="宋体" w:eastAsia="宋体" w:cs="宋体"/>
                <w:i w:val="0"/>
                <w:iCs w:val="0"/>
                <w:color w:val="000000"/>
                <w:sz w:val="18"/>
                <w:szCs w:val="18"/>
                <w:u w:val="none"/>
              </w:rPr>
            </w:pPr>
          </w:p>
        </w:tc>
        <w:tc>
          <w:tcPr>
            <w:tcW w:w="3027" w:type="dxa"/>
            <w:gridSpan w:val="2"/>
            <w:tcBorders>
              <w:top w:val="nil"/>
              <w:left w:val="nil"/>
              <w:bottom w:val="single" w:color="auto" w:sz="4" w:space="0"/>
              <w:right w:val="nil"/>
            </w:tcBorders>
            <w:shd w:val="clear" w:color="auto" w:fill="FFFFFF"/>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金额单位：万元</w:t>
            </w:r>
          </w:p>
        </w:tc>
      </w:tr>
      <w:bookmarkEnd w:id="1"/>
      <w:tr>
        <w:tblPrEx>
          <w:shd w:val="clear" w:color="auto" w:fill="auto"/>
          <w:tblCellMar>
            <w:top w:w="0" w:type="dxa"/>
            <w:left w:w="108" w:type="dxa"/>
            <w:bottom w:w="0" w:type="dxa"/>
            <w:right w:w="108" w:type="dxa"/>
          </w:tblCellMar>
        </w:tblPrEx>
        <w:trPr>
          <w:trHeight w:val="405" w:hRule="atLeast"/>
          <w:tblHeader/>
          <w:jc w:val="center"/>
        </w:trPr>
        <w:tc>
          <w:tcPr>
            <w:tcW w:w="5903" w:type="dxa"/>
            <w:gridSpan w:val="5"/>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 xml:space="preserve">项 </w:t>
            </w:r>
            <w:r>
              <w:rPr>
                <w:rFonts w:hint="eastAsia" w:ascii="宋体" w:hAnsi="宋体" w:eastAsia="宋体" w:cs="宋体"/>
                <w:b w:val="0"/>
                <w:bCs/>
                <w:color w:val="000000"/>
                <w:kern w:val="0"/>
                <w:sz w:val="24"/>
                <w:szCs w:val="24"/>
              </w:rPr>
              <w:t xml:space="preserve">   </w:t>
            </w:r>
            <w:r>
              <w:rPr>
                <w:rFonts w:hint="eastAsia" w:ascii="宋体" w:hAnsi="宋体" w:eastAsia="宋体" w:cs="宋体"/>
                <w:b w:val="0"/>
                <w:bCs/>
                <w:kern w:val="0"/>
                <w:sz w:val="24"/>
                <w:szCs w:val="24"/>
              </w:rPr>
              <w:t>目</w:t>
            </w:r>
          </w:p>
        </w:tc>
        <w:tc>
          <w:tcPr>
            <w:tcW w:w="8316"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本年支出</w:t>
            </w:r>
          </w:p>
        </w:tc>
      </w:tr>
      <w:tr>
        <w:tblPrEx>
          <w:shd w:val="clear" w:color="auto" w:fill="auto"/>
          <w:tblCellMar>
            <w:top w:w="0" w:type="dxa"/>
            <w:left w:w="108" w:type="dxa"/>
            <w:bottom w:w="0" w:type="dxa"/>
            <w:right w:w="108" w:type="dxa"/>
          </w:tblCellMar>
        </w:tblPrEx>
        <w:trPr>
          <w:trHeight w:val="495" w:hRule="atLeast"/>
          <w:tblHeader/>
          <w:jc w:val="center"/>
        </w:trPr>
        <w:tc>
          <w:tcPr>
            <w:tcW w:w="1900" w:type="dxa"/>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功能分类科目</w:t>
            </w:r>
            <w:r>
              <w:rPr>
                <w:rFonts w:hint="eastAsia" w:ascii="宋体" w:hAnsi="宋体" w:eastAsia="宋体" w:cs="宋体"/>
                <w:b w:val="0"/>
                <w:bCs/>
                <w:kern w:val="0"/>
                <w:sz w:val="24"/>
                <w:szCs w:val="24"/>
                <w:lang w:val="en-US" w:eastAsia="zh-CN"/>
              </w:rPr>
              <w:t xml:space="preserve">  </w:t>
            </w:r>
            <w:r>
              <w:rPr>
                <w:rFonts w:hint="eastAsia" w:ascii="宋体" w:hAnsi="宋体" w:eastAsia="宋体" w:cs="宋体"/>
                <w:b w:val="0"/>
                <w:bCs/>
                <w:kern w:val="0"/>
                <w:sz w:val="24"/>
                <w:szCs w:val="24"/>
              </w:rPr>
              <w:t>编码</w:t>
            </w:r>
          </w:p>
        </w:tc>
        <w:tc>
          <w:tcPr>
            <w:tcW w:w="4003" w:type="dxa"/>
            <w:gridSpan w:val="4"/>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科目名称</w:t>
            </w:r>
          </w:p>
        </w:tc>
        <w:tc>
          <w:tcPr>
            <w:tcW w:w="2486"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小计</w:t>
            </w:r>
          </w:p>
        </w:tc>
        <w:tc>
          <w:tcPr>
            <w:tcW w:w="2986"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基本支出</w:t>
            </w:r>
          </w:p>
        </w:tc>
        <w:tc>
          <w:tcPr>
            <w:tcW w:w="2844"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hint="eastAsia" w:ascii="宋体" w:hAnsi="宋体" w:eastAsia="宋体" w:cs="宋体"/>
                <w:b w:val="0"/>
                <w:bCs/>
                <w:kern w:val="0"/>
                <w:sz w:val="24"/>
                <w:szCs w:val="24"/>
              </w:rPr>
            </w:pPr>
            <w:r>
              <w:rPr>
                <w:rFonts w:hint="eastAsia" w:ascii="宋体" w:hAnsi="宋体" w:eastAsia="宋体" w:cs="宋体"/>
                <w:b w:val="0"/>
                <w:bCs/>
                <w:kern w:val="0"/>
                <w:sz w:val="24"/>
                <w:szCs w:val="24"/>
              </w:rPr>
              <w:t>项目支出</w:t>
            </w:r>
          </w:p>
        </w:tc>
      </w:tr>
      <w:tr>
        <w:tblPrEx>
          <w:shd w:val="clear" w:color="auto" w:fill="auto"/>
          <w:tblCellMar>
            <w:top w:w="0" w:type="dxa"/>
            <w:left w:w="108" w:type="dxa"/>
            <w:bottom w:w="0" w:type="dxa"/>
            <w:right w:w="108" w:type="dxa"/>
          </w:tblCellMar>
        </w:tblPrEx>
        <w:trPr>
          <w:trHeight w:val="360" w:hRule="atLeast"/>
          <w:tblHeader/>
          <w:jc w:val="center"/>
        </w:trPr>
        <w:tc>
          <w:tcPr>
            <w:tcW w:w="1900"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4003" w:type="dxa"/>
            <w:gridSpan w:val="4"/>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2486" w:type="dxa"/>
            <w:gridSpan w:val="2"/>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2986"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2844" w:type="dxa"/>
            <w:vMerge w:val="continue"/>
            <w:tcBorders>
              <w:top w:val="nil"/>
              <w:left w:val="single" w:color="auto" w:sz="4" w:space="0"/>
              <w:bottom w:val="single" w:color="000000" w:sz="4" w:space="0"/>
              <w:right w:val="single" w:color="auto" w:sz="8" w:space="0"/>
            </w:tcBorders>
            <w:shd w:val="clear" w:color="auto" w:fill="auto"/>
            <w:vAlign w:val="center"/>
          </w:tcPr>
          <w:p>
            <w:pPr>
              <w:widowControl/>
              <w:jc w:val="left"/>
              <w:rPr>
                <w:rFonts w:hint="eastAsia" w:ascii="宋体" w:hAnsi="宋体" w:eastAsia="宋体" w:cs="宋体"/>
                <w:kern w:val="0"/>
                <w:sz w:val="24"/>
                <w:szCs w:val="24"/>
              </w:rPr>
            </w:pPr>
          </w:p>
        </w:tc>
      </w:tr>
      <w:tr>
        <w:tblPrEx>
          <w:shd w:val="clear" w:color="auto" w:fill="auto"/>
          <w:tblCellMar>
            <w:top w:w="0" w:type="dxa"/>
            <w:left w:w="108" w:type="dxa"/>
            <w:bottom w:w="0" w:type="dxa"/>
            <w:right w:w="108" w:type="dxa"/>
          </w:tblCellMar>
        </w:tblPrEx>
        <w:trPr>
          <w:trHeight w:val="312" w:hRule="atLeast"/>
          <w:tblHeader/>
          <w:jc w:val="center"/>
        </w:trPr>
        <w:tc>
          <w:tcPr>
            <w:tcW w:w="1900" w:type="dxa"/>
            <w:vMerge w:val="continue"/>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4003" w:type="dxa"/>
            <w:gridSpan w:val="4"/>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2486" w:type="dxa"/>
            <w:gridSpan w:val="2"/>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2986"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widowControl/>
              <w:jc w:val="left"/>
              <w:rPr>
                <w:rFonts w:hint="eastAsia" w:ascii="宋体" w:hAnsi="宋体" w:eastAsia="宋体" w:cs="宋体"/>
                <w:kern w:val="0"/>
                <w:sz w:val="24"/>
                <w:szCs w:val="24"/>
              </w:rPr>
            </w:pPr>
          </w:p>
        </w:tc>
        <w:tc>
          <w:tcPr>
            <w:tcW w:w="2844" w:type="dxa"/>
            <w:vMerge w:val="continue"/>
            <w:tcBorders>
              <w:top w:val="nil"/>
              <w:left w:val="single" w:color="auto" w:sz="4" w:space="0"/>
              <w:bottom w:val="single" w:color="000000" w:sz="4" w:space="0"/>
              <w:right w:val="single" w:color="auto" w:sz="8" w:space="0"/>
            </w:tcBorders>
            <w:shd w:val="clear" w:color="auto" w:fill="auto"/>
            <w:vAlign w:val="center"/>
          </w:tcPr>
          <w:p>
            <w:pPr>
              <w:widowControl/>
              <w:jc w:val="left"/>
              <w:rPr>
                <w:rFonts w:hint="eastAsia" w:ascii="宋体" w:hAnsi="宋体" w:eastAsia="宋体" w:cs="宋体"/>
                <w:kern w:val="0"/>
                <w:sz w:val="24"/>
                <w:szCs w:val="24"/>
              </w:rPr>
            </w:pPr>
          </w:p>
        </w:tc>
      </w:tr>
      <w:tr>
        <w:tblPrEx>
          <w:shd w:val="clear" w:color="auto" w:fill="auto"/>
          <w:tblCellMar>
            <w:top w:w="0" w:type="dxa"/>
            <w:left w:w="108" w:type="dxa"/>
            <w:bottom w:w="0" w:type="dxa"/>
            <w:right w:w="108" w:type="dxa"/>
          </w:tblCellMar>
        </w:tblPrEx>
        <w:trPr>
          <w:trHeight w:val="300" w:hRule="atLeast"/>
          <w:tblHeader/>
          <w:jc w:val="center"/>
        </w:trPr>
        <w:tc>
          <w:tcPr>
            <w:tcW w:w="5903" w:type="dxa"/>
            <w:gridSpan w:val="5"/>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栏次</w:t>
            </w:r>
          </w:p>
        </w:tc>
        <w:tc>
          <w:tcPr>
            <w:tcW w:w="248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1</w:t>
            </w:r>
          </w:p>
        </w:tc>
        <w:tc>
          <w:tcPr>
            <w:tcW w:w="2986" w:type="dxa"/>
            <w:gridSpan w:val="3"/>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2</w:t>
            </w:r>
          </w:p>
        </w:tc>
        <w:tc>
          <w:tcPr>
            <w:tcW w:w="2844" w:type="dxa"/>
            <w:tcBorders>
              <w:top w:val="nil"/>
              <w:left w:val="nil"/>
              <w:bottom w:val="single" w:color="auto" w:sz="4" w:space="0"/>
              <w:right w:val="single" w:color="auto" w:sz="8"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3</w:t>
            </w:r>
          </w:p>
        </w:tc>
      </w:tr>
      <w:tr>
        <w:tblPrEx>
          <w:shd w:val="clear" w:color="auto" w:fill="auto"/>
          <w:tblCellMar>
            <w:top w:w="0" w:type="dxa"/>
            <w:left w:w="108" w:type="dxa"/>
            <w:bottom w:w="0" w:type="dxa"/>
            <w:right w:w="108" w:type="dxa"/>
          </w:tblCellMar>
        </w:tblPrEx>
        <w:trPr>
          <w:trHeight w:val="300" w:hRule="atLeast"/>
          <w:jc w:val="center"/>
        </w:trPr>
        <w:tc>
          <w:tcPr>
            <w:tcW w:w="5903" w:type="dxa"/>
            <w:gridSpan w:val="5"/>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合计</w:t>
            </w:r>
          </w:p>
        </w:tc>
        <w:tc>
          <w:tcPr>
            <w:tcW w:w="248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691.87</w:t>
            </w:r>
          </w:p>
        </w:tc>
        <w:tc>
          <w:tcPr>
            <w:tcW w:w="298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592.24</w:t>
            </w:r>
          </w:p>
        </w:tc>
        <w:tc>
          <w:tcPr>
            <w:tcW w:w="284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99.62</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201</w:t>
            </w:r>
          </w:p>
        </w:tc>
        <w:tc>
          <w:tcPr>
            <w:tcW w:w="400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一般公共服务支出</w:t>
            </w:r>
          </w:p>
        </w:tc>
        <w:tc>
          <w:tcPr>
            <w:tcW w:w="248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c>
          <w:tcPr>
            <w:tcW w:w="298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20138</w:t>
            </w:r>
          </w:p>
        </w:tc>
        <w:tc>
          <w:tcPr>
            <w:tcW w:w="400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市场监督管理事务</w:t>
            </w:r>
          </w:p>
        </w:tc>
        <w:tc>
          <w:tcPr>
            <w:tcW w:w="248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c>
          <w:tcPr>
            <w:tcW w:w="298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2013810</w:t>
            </w:r>
          </w:p>
        </w:tc>
        <w:tc>
          <w:tcPr>
            <w:tcW w:w="400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质量基础</w:t>
            </w:r>
          </w:p>
        </w:tc>
        <w:tc>
          <w:tcPr>
            <w:tcW w:w="248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5.24</w:t>
            </w:r>
          </w:p>
        </w:tc>
        <w:tc>
          <w:tcPr>
            <w:tcW w:w="298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5.24</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206</w:t>
            </w:r>
          </w:p>
        </w:tc>
        <w:tc>
          <w:tcPr>
            <w:tcW w:w="400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科学技术支出</w:t>
            </w:r>
          </w:p>
        </w:tc>
        <w:tc>
          <w:tcPr>
            <w:tcW w:w="248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568.16</w:t>
            </w:r>
          </w:p>
        </w:tc>
        <w:tc>
          <w:tcPr>
            <w:tcW w:w="298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475.80</w:t>
            </w:r>
          </w:p>
        </w:tc>
        <w:tc>
          <w:tcPr>
            <w:tcW w:w="284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92.36</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20602</w:t>
            </w:r>
          </w:p>
        </w:tc>
        <w:tc>
          <w:tcPr>
            <w:tcW w:w="4003" w:type="dxa"/>
            <w:gridSpan w:val="4"/>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基础研究</w:t>
            </w:r>
          </w:p>
        </w:tc>
        <w:tc>
          <w:tcPr>
            <w:tcW w:w="248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18.60</w:t>
            </w:r>
          </w:p>
        </w:tc>
        <w:tc>
          <w:tcPr>
            <w:tcW w:w="2986" w:type="dxa"/>
            <w:gridSpan w:val="3"/>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4"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18.60</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2060203</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自然科学基金</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18.60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18.60</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20603</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应用研究</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492.33</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475.80</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16.52</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2060301</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机构运行</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475.80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475.80</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2060302</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社会公益研究</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9.52</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9.52</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2060399</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其他应用研究支出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7.00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7.00</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20605</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科技条件与服务</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0.00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2060599</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其他科技条件与服务支出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0.00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20609</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科技重大项目</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47.24</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47.24</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2060902</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重点研发计划</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47.24</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47.24</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20699</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其他科学技术支出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10.00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10.00</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2069999</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其他科学技术支出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10.00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10.00</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208</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社会保障和就业支出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20805</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行政事业单位养老支出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64.00</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2080505</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机关事业单位基本养老保险缴费支出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42.00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42.00</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2080506</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机关事业单位职业年金缴费支出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22.00</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22.00</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213</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农林水支出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21301</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农业农村</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2.03</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2130109</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农产品质量安全</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0.08</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0.08</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2130122</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农业生产发展</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1.95</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1.95</w:t>
            </w: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221</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住房保障支出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22102</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住房改革支出</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b/>
                <w:bCs/>
                <w:i w:val="0"/>
                <w:iCs w:val="0"/>
                <w:color w:val="000000"/>
                <w:kern w:val="0"/>
                <w:sz w:val="22"/>
                <w:szCs w:val="22"/>
                <w:u w:val="none"/>
                <w:lang w:val="en-US" w:eastAsia="zh-CN" w:bidi="ar"/>
              </w:rPr>
              <w:t>52.44</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2210201</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住房公积金</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41.13</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41.13</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300" w:hRule="atLeast"/>
          <w:jc w:val="center"/>
        </w:trPr>
        <w:tc>
          <w:tcPr>
            <w:tcW w:w="1900" w:type="dxa"/>
            <w:tcBorders>
              <w:top w:val="single" w:color="auto" w:sz="4" w:space="0"/>
              <w:left w:val="single" w:color="auto" w:sz="8" w:space="0"/>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2210203</w:t>
            </w:r>
          </w:p>
        </w:tc>
        <w:tc>
          <w:tcPr>
            <w:tcW w:w="4003" w:type="dxa"/>
            <w:gridSpan w:val="4"/>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lef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 xml:space="preserve">  购房补贴</w:t>
            </w:r>
          </w:p>
        </w:tc>
        <w:tc>
          <w:tcPr>
            <w:tcW w:w="2486" w:type="dxa"/>
            <w:gridSpan w:val="2"/>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11.31</w:t>
            </w:r>
          </w:p>
        </w:tc>
        <w:tc>
          <w:tcPr>
            <w:tcW w:w="2986" w:type="dxa"/>
            <w:gridSpan w:val="3"/>
            <w:tcBorders>
              <w:top w:val="nil"/>
              <w:left w:val="nil"/>
              <w:bottom w:val="single" w:color="auto" w:sz="8" w:space="0"/>
              <w:right w:val="single" w:color="auto" w:sz="4"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r>
              <w:rPr>
                <w:rFonts w:hint="eastAsia" w:ascii="宋体" w:hAnsi="宋体" w:eastAsia="宋体" w:cs="宋体"/>
                <w:i w:val="0"/>
                <w:iCs w:val="0"/>
                <w:color w:val="000000"/>
                <w:kern w:val="0"/>
                <w:sz w:val="22"/>
                <w:szCs w:val="22"/>
                <w:u w:val="none"/>
                <w:lang w:val="en-US" w:eastAsia="zh-CN" w:bidi="ar"/>
              </w:rPr>
              <w:t>11.31</w:t>
            </w:r>
          </w:p>
        </w:tc>
        <w:tc>
          <w:tcPr>
            <w:tcW w:w="2844" w:type="dxa"/>
            <w:tcBorders>
              <w:top w:val="nil"/>
              <w:left w:val="nil"/>
              <w:bottom w:val="single" w:color="auto" w:sz="8" w:space="0"/>
              <w:right w:val="single" w:color="auto" w:sz="8" w:space="0"/>
            </w:tcBorders>
            <w:shd w:val="clear" w:color="auto" w:fill="auto"/>
            <w:vAlign w:val="center"/>
          </w:tcPr>
          <w:p>
            <w:pPr>
              <w:keepNext w:val="0"/>
              <w:keepLines w:val="0"/>
              <w:widowControl/>
              <w:suppressLineNumbers w:val="0"/>
              <w:jc w:val="right"/>
              <w:textAlignment w:val="center"/>
              <w:rPr>
                <w:rFonts w:ascii="Times New Roman" w:hAnsi="Times New Roman" w:eastAsia="仿宋_GB2312" w:cs="Times New Roman"/>
                <w:kern w:val="0"/>
                <w:sz w:val="22"/>
                <w:szCs w:val="22"/>
              </w:rPr>
            </w:pPr>
          </w:p>
        </w:tc>
      </w:tr>
      <w:tr>
        <w:tblPrEx>
          <w:shd w:val="clear" w:color="auto" w:fill="auto"/>
          <w:tblCellMar>
            <w:top w:w="0" w:type="dxa"/>
            <w:left w:w="108" w:type="dxa"/>
            <w:bottom w:w="0" w:type="dxa"/>
            <w:right w:w="108" w:type="dxa"/>
          </w:tblCellMar>
        </w:tblPrEx>
        <w:trPr>
          <w:trHeight w:val="494" w:hRule="atLeast"/>
          <w:jc w:val="center"/>
        </w:trPr>
        <w:tc>
          <w:tcPr>
            <w:tcW w:w="14219" w:type="dxa"/>
            <w:gridSpan w:val="11"/>
            <w:tcBorders>
              <w:top w:val="nil"/>
              <w:left w:val="nil"/>
              <w:bottom w:val="nil"/>
              <w:right w:val="nil"/>
            </w:tcBorders>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注：本表反映部门本年度一般公共预算财政拨款支出情况。</w:t>
            </w:r>
          </w:p>
        </w:tc>
      </w:tr>
    </w:tbl>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p>
      <w:pPr>
        <w:widowControl/>
        <w:jc w:val="left"/>
        <w:rPr>
          <w:rFonts w:ascii="Times New Roman" w:hAnsi="Times New Roman" w:eastAsia="仿宋_GB2312" w:cs="Times New Roman"/>
          <w:bCs/>
          <w:kern w:val="0"/>
          <w:szCs w:val="21"/>
        </w:rPr>
      </w:pPr>
    </w:p>
    <w:tbl>
      <w:tblPr>
        <w:tblStyle w:val="5"/>
        <w:tblW w:w="15509" w:type="dxa"/>
        <w:tblInd w:w="0" w:type="dxa"/>
        <w:tblLayout w:type="fixed"/>
        <w:tblCellMar>
          <w:top w:w="0" w:type="dxa"/>
          <w:left w:w="108" w:type="dxa"/>
          <w:bottom w:w="0" w:type="dxa"/>
          <w:right w:w="108" w:type="dxa"/>
        </w:tblCellMar>
      </w:tblPr>
      <w:tblGrid>
        <w:gridCol w:w="1114"/>
        <w:gridCol w:w="3300"/>
        <w:gridCol w:w="908"/>
        <w:gridCol w:w="1150"/>
        <w:gridCol w:w="2231"/>
        <w:gridCol w:w="822"/>
        <w:gridCol w:w="852"/>
        <w:gridCol w:w="4260"/>
        <w:gridCol w:w="872"/>
      </w:tblGrid>
      <w:tr>
        <w:tblPrEx>
          <w:tblCellMar>
            <w:top w:w="0" w:type="dxa"/>
            <w:left w:w="108" w:type="dxa"/>
            <w:bottom w:w="0" w:type="dxa"/>
            <w:right w:w="108" w:type="dxa"/>
          </w:tblCellMar>
        </w:tblPrEx>
        <w:trPr>
          <w:trHeight w:val="113" w:hRule="atLeast"/>
        </w:trPr>
        <w:tc>
          <w:tcPr>
            <w:tcW w:w="15509" w:type="dxa"/>
            <w:gridSpan w:val="9"/>
            <w:tcBorders>
              <w:top w:val="nil"/>
              <w:left w:val="nil"/>
              <w:bottom w:val="nil"/>
              <w:right w:val="nil"/>
            </w:tcBorders>
            <w:shd w:val="clear" w:color="auto" w:fill="auto"/>
            <w:noWrap/>
            <w:vAlign w:val="center"/>
          </w:tcPr>
          <w:p>
            <w:pPr>
              <w:jc w:val="center"/>
              <w:rPr>
                <w:rFonts w:hint="eastAsia" w:ascii="华文中宋" w:hAnsi="华文中宋" w:eastAsia="华文中宋" w:cs="宋体"/>
                <w:color w:val="000000"/>
                <w:kern w:val="0"/>
                <w:sz w:val="32"/>
                <w:szCs w:val="32"/>
                <w:lang w:val="en-US" w:eastAsia="zh-CN"/>
              </w:rPr>
            </w:pPr>
            <w:bookmarkStart w:id="2" w:name="RANGE!A1:I34"/>
            <w:r>
              <w:rPr>
                <w:rFonts w:hint="eastAsia" w:ascii="华文中宋" w:hAnsi="华文中宋" w:eastAsia="华文中宋" w:cs="宋体"/>
                <w:color w:val="000000"/>
                <w:kern w:val="0"/>
                <w:sz w:val="32"/>
                <w:szCs w:val="32"/>
                <w:lang w:val="en-US" w:eastAsia="zh-CN"/>
              </w:rPr>
              <w:t>一般公共预算财政拨款基本支出决算明细表</w:t>
            </w:r>
            <w:bookmarkEnd w:id="2"/>
          </w:p>
          <w:p>
            <w:pPr>
              <w:widowControl/>
              <w:wordWrap w:val="0"/>
              <w:jc w:val="right"/>
              <w:rPr>
                <w:rFonts w:ascii="Times New Roman" w:hAnsi="Times New Roman" w:eastAsia="仿宋_GB2312" w:cs="Times New Roman"/>
                <w:color w:val="000000"/>
                <w:kern w:val="0"/>
                <w:szCs w:val="21"/>
              </w:rPr>
            </w:pP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公开06表</w:t>
            </w:r>
          </w:p>
          <w:p>
            <w:pPr>
              <w:widowControl/>
              <w:jc w:val="both"/>
              <w:rPr>
                <w:rFonts w:ascii="华文中宋" w:hAnsi="华文中宋" w:eastAsia="华文中宋" w:cs="宋体"/>
                <w:color w:val="000000"/>
                <w:kern w:val="0"/>
                <w:szCs w:val="32"/>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湖南省食用菌研究所</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hint="eastAsia" w:ascii="Times New Roman" w:hAnsi="Times New Roman" w:eastAsia="仿宋_GB2312" w:cs="Times New Roman"/>
                <w:color w:val="000000"/>
                <w:kern w:val="0"/>
                <w:szCs w:val="21"/>
              </w:rPr>
              <w:t>单位：万元</w:t>
            </w:r>
          </w:p>
        </w:tc>
      </w:tr>
      <w:tr>
        <w:tblPrEx>
          <w:tblCellMar>
            <w:top w:w="0" w:type="dxa"/>
            <w:left w:w="108" w:type="dxa"/>
            <w:bottom w:w="0" w:type="dxa"/>
            <w:right w:w="108" w:type="dxa"/>
          </w:tblCellMar>
        </w:tblPrEx>
        <w:trPr>
          <w:trHeight w:val="873" w:hRule="atLeast"/>
        </w:trPr>
        <w:tc>
          <w:tcPr>
            <w:tcW w:w="111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 w:val="20"/>
                <w:szCs w:val="20"/>
              </w:rPr>
              <w:t>经济分类科目编码</w:t>
            </w:r>
          </w:p>
        </w:tc>
        <w:tc>
          <w:tcPr>
            <w:tcW w:w="330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908"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115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2231"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2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经济分类科目编码</w:t>
            </w:r>
          </w:p>
        </w:tc>
        <w:tc>
          <w:tcPr>
            <w:tcW w:w="426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科目名称</w:t>
            </w:r>
          </w:p>
        </w:tc>
        <w:tc>
          <w:tcPr>
            <w:tcW w:w="872"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决算数</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工资福利支出</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477.30</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商品和服务支出</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74.81</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债务利息及费用支出</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基本工资</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137.94</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30201</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4.29</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30701</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国内债务付息</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30102</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津贴补贴</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21.95</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30202</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印刷费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0.98</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30702</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国外债务付息</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奖金</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15.25</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30203</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咨询费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2.40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资本性支出</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30106</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伙食补助费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30204</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手续费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31001</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房屋建筑物购建</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30107</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绩效工资</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134.64</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30205</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水费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31002</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办公设备购置</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30108</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机关事业单位基本养老保险缴费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42.36</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30206</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电费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6.04</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31003</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专用设备购置</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30109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职业年金缴费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21.18</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30207</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邮电费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31005</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基础设施建设</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30110</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职工基本医疗保险缴费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24.57</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30208</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取暖费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31006</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大型修缮</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公务员医疗补助缴费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30209</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物业管理费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31007</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信息网络及软件购置更新</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30112</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其他社会保障缴费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5.92</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30211</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差旅费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3.76</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31008</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物资储备</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住房公积金</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41.13</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30212</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因公出国（境）费用</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31009</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土地补偿</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30114</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30213</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维修（护）费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3.58</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31010</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安置补助</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30199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其他工资福利支出</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32.35</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30214</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租赁费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31011</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地上附着物和青苗补偿</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对个人和家庭的补助</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40.13</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30215</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会议费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31012</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拆迁补偿</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离休费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30216</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培训费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0.75</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31013</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公务用车购置</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30302</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退休费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40.02</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30217</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公务接待费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0.50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31019</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其他交通工具购置</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30303</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退职（役）费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30218</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专用材料费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31021</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文物和陈列品购置</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30304</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抚恤金</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30224</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被装购置费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31022</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无形资产购置</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30305</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生活补助</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0.12</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30225</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专用燃料费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31099</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其他资本性支出</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30306</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救济费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30226</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劳务费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6.15</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其他支出</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30307</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医疗费补助</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30227</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委托业务费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39906</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赠与</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30308</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助学金</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30228</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工会经费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8.10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39907</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国家赔偿费用支出</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30309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奖励金</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30229</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福利费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13.75</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39908</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对民间非营利组织和群众性自治组织补贴</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30310</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个人农业生产补贴</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30231</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公务用车运行维护费</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39999</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其他支出</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30311</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代缴社会保险费</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30239</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其他交通费用</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2.88</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30399</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其他对个人和家庭的补助</w:t>
            </w:r>
          </w:p>
        </w:tc>
        <w:tc>
          <w:tcPr>
            <w:tcW w:w="908"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30240</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税金及附加费用</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5.10</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1114" w:type="dxa"/>
            <w:tcBorders>
              <w:top w:val="nil"/>
              <w:left w:val="single" w:color="auto" w:sz="4" w:space="0"/>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330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908"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c>
          <w:tcPr>
            <w:tcW w:w="115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30299</w:t>
            </w:r>
          </w:p>
        </w:tc>
        <w:tc>
          <w:tcPr>
            <w:tcW w:w="2231"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xml:space="preserve">  其他商品和服务支出</w:t>
            </w:r>
          </w:p>
        </w:tc>
        <w:tc>
          <w:tcPr>
            <w:tcW w:w="822" w:type="dxa"/>
            <w:tcBorders>
              <w:top w:val="nil"/>
              <w:left w:val="nil"/>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ascii="宋体" w:hAnsi="宋体" w:eastAsia="宋体" w:cs="宋体"/>
                <w:color w:val="000000"/>
                <w:kern w:val="0"/>
                <w:szCs w:val="20"/>
              </w:rPr>
            </w:pPr>
            <w:r>
              <w:rPr>
                <w:rFonts w:hint="eastAsia" w:ascii="宋体" w:hAnsi="宋体" w:eastAsia="宋体" w:cs="宋体"/>
                <w:i w:val="0"/>
                <w:iCs w:val="0"/>
                <w:color w:val="000000"/>
                <w:kern w:val="0"/>
                <w:sz w:val="20"/>
                <w:szCs w:val="20"/>
                <w:u w:val="none"/>
                <w:lang w:val="en-US" w:eastAsia="zh-CN" w:bidi="ar"/>
              </w:rPr>
              <w:t>15.42</w:t>
            </w:r>
          </w:p>
        </w:tc>
        <w:tc>
          <w:tcPr>
            <w:tcW w:w="85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4260"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18"/>
              </w:rPr>
            </w:pPr>
            <w:r>
              <w:rPr>
                <w:rFonts w:hint="eastAsia" w:ascii="宋体" w:hAnsi="宋体" w:eastAsia="宋体" w:cs="宋体"/>
                <w:color w:val="000000"/>
                <w:kern w:val="0"/>
                <w:szCs w:val="18"/>
              </w:rPr>
              <w:t>　</w:t>
            </w:r>
          </w:p>
        </w:tc>
        <w:tc>
          <w:tcPr>
            <w:tcW w:w="872" w:type="dxa"/>
            <w:tcBorders>
              <w:top w:val="nil"/>
              <w:left w:val="nil"/>
              <w:bottom w:val="single" w:color="auto" w:sz="4" w:space="0"/>
              <w:right w:val="single" w:color="auto" w:sz="4" w:space="0"/>
            </w:tcBorders>
            <w:shd w:val="clear" w:color="auto" w:fill="auto"/>
            <w:noWrap/>
            <w:vAlign w:val="center"/>
          </w:tcPr>
          <w:p>
            <w:pPr>
              <w:widowControl/>
              <w:jc w:val="left"/>
              <w:rPr>
                <w:rFonts w:ascii="宋体" w:hAnsi="宋体" w:eastAsia="宋体" w:cs="宋体"/>
                <w:color w:val="000000"/>
                <w:kern w:val="0"/>
                <w:szCs w:val="20"/>
              </w:rPr>
            </w:pPr>
            <w:r>
              <w:rPr>
                <w:rFonts w:hint="eastAsia" w:ascii="宋体" w:hAnsi="宋体" w:eastAsia="宋体" w:cs="宋体"/>
                <w:color w:val="000000"/>
                <w:kern w:val="0"/>
                <w:szCs w:val="20"/>
              </w:rPr>
              <w:t>　</w:t>
            </w:r>
          </w:p>
        </w:tc>
      </w:tr>
      <w:tr>
        <w:tblPrEx>
          <w:tblCellMar>
            <w:top w:w="0" w:type="dxa"/>
            <w:left w:w="108" w:type="dxa"/>
            <w:bottom w:w="0" w:type="dxa"/>
            <w:right w:w="108" w:type="dxa"/>
          </w:tblCellMar>
        </w:tblPrEx>
        <w:trPr>
          <w:trHeight w:val="284" w:hRule="exact"/>
        </w:trPr>
        <w:tc>
          <w:tcPr>
            <w:tcW w:w="4414" w:type="dxa"/>
            <w:gridSpan w:val="2"/>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人员经费合计</w:t>
            </w:r>
          </w:p>
        </w:tc>
        <w:tc>
          <w:tcPr>
            <w:tcW w:w="908"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20"/>
              </w:rPr>
            </w:pPr>
            <w:r>
              <w:rPr>
                <w:rFonts w:hint="eastAsia" w:ascii="宋体" w:hAnsi="宋体" w:eastAsia="宋体" w:cs="宋体"/>
                <w:color w:val="000000"/>
                <w:kern w:val="0"/>
                <w:szCs w:val="20"/>
                <w:lang w:val="en-US" w:eastAsia="zh-CN"/>
              </w:rPr>
              <w:t>517.43</w:t>
            </w:r>
            <w:r>
              <w:rPr>
                <w:rFonts w:hint="eastAsia" w:ascii="宋体" w:hAnsi="宋体" w:eastAsia="宋体" w:cs="宋体"/>
                <w:color w:val="000000"/>
                <w:kern w:val="0"/>
                <w:szCs w:val="20"/>
              </w:rPr>
              <w:t>　</w:t>
            </w:r>
          </w:p>
        </w:tc>
        <w:tc>
          <w:tcPr>
            <w:tcW w:w="9315" w:type="dxa"/>
            <w:gridSpan w:val="5"/>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color w:val="000000"/>
                <w:kern w:val="0"/>
                <w:szCs w:val="20"/>
              </w:rPr>
            </w:pPr>
            <w:r>
              <w:rPr>
                <w:rFonts w:hint="eastAsia" w:ascii="宋体" w:hAnsi="宋体" w:eastAsia="宋体" w:cs="宋体"/>
                <w:color w:val="000000"/>
                <w:kern w:val="0"/>
                <w:szCs w:val="20"/>
              </w:rPr>
              <w:t>公用经费合计</w:t>
            </w:r>
          </w:p>
        </w:tc>
        <w:tc>
          <w:tcPr>
            <w:tcW w:w="872" w:type="dxa"/>
            <w:tcBorders>
              <w:top w:val="nil"/>
              <w:left w:val="nil"/>
              <w:bottom w:val="single" w:color="auto" w:sz="4" w:space="0"/>
              <w:right w:val="single" w:color="auto" w:sz="4" w:space="0"/>
            </w:tcBorders>
            <w:shd w:val="clear" w:color="auto" w:fill="auto"/>
            <w:noWrap/>
            <w:vAlign w:val="center"/>
          </w:tcPr>
          <w:p>
            <w:pPr>
              <w:widowControl/>
              <w:jc w:val="right"/>
              <w:rPr>
                <w:rFonts w:ascii="宋体" w:hAnsi="宋体" w:eastAsia="宋体" w:cs="宋体"/>
                <w:color w:val="000000"/>
                <w:kern w:val="0"/>
                <w:szCs w:val="18"/>
              </w:rPr>
            </w:pPr>
            <w:r>
              <w:rPr>
                <w:rFonts w:hint="eastAsia" w:ascii="宋体" w:hAnsi="宋体" w:eastAsia="宋体" w:cs="宋体"/>
                <w:color w:val="000000"/>
                <w:kern w:val="0"/>
                <w:szCs w:val="18"/>
                <w:lang w:val="en-US" w:eastAsia="zh-CN"/>
              </w:rPr>
              <w:t>74.81</w:t>
            </w:r>
            <w:r>
              <w:rPr>
                <w:rFonts w:hint="eastAsia" w:ascii="宋体" w:hAnsi="宋体" w:eastAsia="宋体" w:cs="宋体"/>
                <w:color w:val="000000"/>
                <w:kern w:val="0"/>
                <w:szCs w:val="18"/>
              </w:rPr>
              <w:t>　</w:t>
            </w:r>
          </w:p>
        </w:tc>
      </w:tr>
      <w:tr>
        <w:tblPrEx>
          <w:tblCellMar>
            <w:top w:w="0" w:type="dxa"/>
            <w:left w:w="108" w:type="dxa"/>
            <w:bottom w:w="0" w:type="dxa"/>
            <w:right w:w="108" w:type="dxa"/>
          </w:tblCellMar>
        </w:tblPrEx>
        <w:trPr>
          <w:trHeight w:val="284" w:hRule="exact"/>
        </w:trPr>
        <w:tc>
          <w:tcPr>
            <w:tcW w:w="15509" w:type="dxa"/>
            <w:gridSpan w:val="9"/>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Cs w:val="24"/>
              </w:rPr>
            </w:pPr>
            <w:r>
              <w:rPr>
                <w:rFonts w:hint="eastAsia" w:ascii="宋体" w:hAnsi="宋体" w:eastAsia="宋体" w:cs="宋体"/>
                <w:color w:val="000000"/>
                <w:kern w:val="0"/>
                <w:szCs w:val="24"/>
              </w:rPr>
              <w:t>注：本表反映部门本年度一般公共预算财政拨款基本支出明细情况。</w:t>
            </w:r>
          </w:p>
        </w:tc>
      </w:tr>
    </w:tbl>
    <w:p>
      <w:pPr>
        <w:widowControl/>
        <w:jc w:val="center"/>
        <w:rPr>
          <w:rFonts w:ascii="Times New Roman" w:hAnsi="Times New Roman" w:eastAsia="方正小标宋_GBK" w:cs="Times New Roman"/>
          <w:color w:val="000000"/>
          <w:kern w:val="0"/>
          <w:sz w:val="36"/>
          <w:szCs w:val="36"/>
        </w:rPr>
      </w:pPr>
      <w:r>
        <w:rPr>
          <w:rFonts w:hint="eastAsia" w:ascii="Times New Roman" w:hAnsi="Times New Roman" w:eastAsia="方正小标宋_GBK" w:cs="Times New Roman"/>
          <w:color w:val="000000"/>
          <w:kern w:val="0"/>
          <w:sz w:val="36"/>
          <w:szCs w:val="36"/>
        </w:rPr>
        <w:t>一般公共预算财政拨款“三公”经费支出决算表</w:t>
      </w:r>
    </w:p>
    <w:p>
      <w:pPr>
        <w:widowControl/>
        <w:ind w:firstLine="420" w:firstLineChars="2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rPr>
        <w:t xml:space="preserve">         </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公开0</w:t>
      </w:r>
      <w:r>
        <w:rPr>
          <w:rFonts w:hint="eastAsia" w:ascii="Times New Roman" w:hAnsi="Times New Roman" w:eastAsia="仿宋_GB2312" w:cs="Times New Roman"/>
          <w:color w:val="000000"/>
          <w:kern w:val="0"/>
          <w:szCs w:val="21"/>
        </w:rPr>
        <w:t>7</w:t>
      </w:r>
      <w:r>
        <w:rPr>
          <w:rFonts w:ascii="Times New Roman" w:hAnsi="Times New Roman" w:eastAsia="仿宋_GB2312" w:cs="Times New Roman"/>
          <w:color w:val="000000"/>
          <w:kern w:val="0"/>
          <w:szCs w:val="21"/>
        </w:rPr>
        <w:t>表</w:t>
      </w:r>
    </w:p>
    <w:p>
      <w:pPr>
        <w:widowControl/>
        <w:ind w:right="420" w:firstLine="420" w:firstLineChars="200"/>
        <w:jc w:val="left"/>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 xml:space="preserve">湖南省食用菌研究所                                                                                                        </w:t>
      </w:r>
      <w:r>
        <w:rPr>
          <w:rFonts w:ascii="Times New Roman" w:hAnsi="Times New Roman" w:eastAsia="仿宋_GB2312" w:cs="Times New Roman"/>
          <w:color w:val="000000"/>
          <w:kern w:val="0"/>
          <w:szCs w:val="21"/>
        </w:rPr>
        <w:t>单位：万元</w:t>
      </w:r>
    </w:p>
    <w:tbl>
      <w:tblPr>
        <w:tblStyle w:val="5"/>
        <w:tblW w:w="14640" w:type="dxa"/>
        <w:jc w:val="center"/>
        <w:tblLayout w:type="autofit"/>
        <w:tblCellMar>
          <w:top w:w="0" w:type="dxa"/>
          <w:left w:w="108" w:type="dxa"/>
          <w:bottom w:w="0" w:type="dxa"/>
          <w:right w:w="108" w:type="dxa"/>
        </w:tblCellMar>
      </w:tblPr>
      <w:tblGrid>
        <w:gridCol w:w="1220"/>
        <w:gridCol w:w="1220"/>
        <w:gridCol w:w="1220"/>
        <w:gridCol w:w="1220"/>
        <w:gridCol w:w="1220"/>
        <w:gridCol w:w="1220"/>
        <w:gridCol w:w="1220"/>
        <w:gridCol w:w="1220"/>
        <w:gridCol w:w="1220"/>
        <w:gridCol w:w="1220"/>
        <w:gridCol w:w="1220"/>
        <w:gridCol w:w="1220"/>
      </w:tblGrid>
      <w:tr>
        <w:tblPrEx>
          <w:tblCellMar>
            <w:top w:w="0" w:type="dxa"/>
            <w:left w:w="108" w:type="dxa"/>
            <w:bottom w:w="0" w:type="dxa"/>
            <w:right w:w="108" w:type="dxa"/>
          </w:tblCellMar>
        </w:tblPrEx>
        <w:trPr>
          <w:trHeight w:val="397" w:hRule="atLeast"/>
          <w:jc w:val="center"/>
        </w:trPr>
        <w:tc>
          <w:tcPr>
            <w:tcW w:w="7320" w:type="dxa"/>
            <w:gridSpan w:val="6"/>
            <w:tcBorders>
              <w:top w:val="single" w:color="auto" w:sz="8" w:space="0"/>
              <w:left w:val="single" w:color="auto" w:sz="8" w:space="0"/>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预算数</w:t>
            </w:r>
          </w:p>
        </w:tc>
        <w:tc>
          <w:tcPr>
            <w:tcW w:w="7320" w:type="dxa"/>
            <w:gridSpan w:val="6"/>
            <w:tcBorders>
              <w:top w:val="single" w:color="auto" w:sz="8" w:space="0"/>
              <w:left w:val="nil"/>
              <w:bottom w:val="single" w:color="auto" w:sz="4" w:space="0"/>
              <w:right w:val="single" w:color="000000"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决算数</w:t>
            </w:r>
          </w:p>
        </w:tc>
      </w:tr>
      <w:tr>
        <w:tblPrEx>
          <w:tblCellMar>
            <w:top w:w="0" w:type="dxa"/>
            <w:left w:w="108" w:type="dxa"/>
            <w:bottom w:w="0" w:type="dxa"/>
            <w:right w:w="108" w:type="dxa"/>
          </w:tblCellMar>
        </w:tblPrEx>
        <w:trPr>
          <w:trHeight w:val="397" w:hRule="atLeast"/>
          <w:jc w:val="center"/>
        </w:trPr>
        <w:tc>
          <w:tcPr>
            <w:tcW w:w="1220" w:type="dxa"/>
            <w:vMerge w:val="restart"/>
            <w:tcBorders>
              <w:top w:val="nil"/>
              <w:left w:val="single" w:color="auto" w:sz="8"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c>
          <w:tcPr>
            <w:tcW w:w="1220" w:type="dxa"/>
            <w:vMerge w:val="restart"/>
            <w:tcBorders>
              <w:top w:val="nil"/>
              <w:left w:val="nil"/>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12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因公出国（境）费</w:t>
            </w:r>
          </w:p>
        </w:tc>
        <w:tc>
          <w:tcPr>
            <w:tcW w:w="36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公务用车购置及运行费</w:t>
            </w:r>
          </w:p>
        </w:tc>
        <w:tc>
          <w:tcPr>
            <w:tcW w:w="1220" w:type="dxa"/>
            <w:vMerge w:val="restart"/>
            <w:tcBorders>
              <w:top w:val="nil"/>
              <w:left w:val="single" w:color="auto" w:sz="4" w:space="0"/>
              <w:bottom w:val="single" w:color="000000"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w:t>
            </w:r>
          </w:p>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接待费</w:t>
            </w:r>
          </w:p>
        </w:tc>
      </w:tr>
      <w:tr>
        <w:tblPrEx>
          <w:tblCellMar>
            <w:top w:w="0" w:type="dxa"/>
            <w:left w:w="108" w:type="dxa"/>
            <w:bottom w:w="0" w:type="dxa"/>
            <w:right w:w="108" w:type="dxa"/>
          </w:tblCellMar>
        </w:tblPrEx>
        <w:trPr>
          <w:trHeight w:val="397" w:hRule="atLeast"/>
          <w:jc w:val="center"/>
        </w:trPr>
        <w:tc>
          <w:tcPr>
            <w:tcW w:w="1220" w:type="dxa"/>
            <w:vMerge w:val="continue"/>
            <w:tcBorders>
              <w:top w:val="nil"/>
              <w:left w:val="single" w:color="auto" w:sz="8"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nil"/>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vMerge w:val="continue"/>
            <w:tcBorders>
              <w:top w:val="nil"/>
              <w:left w:val="single" w:color="auto" w:sz="4" w:space="0"/>
              <w:bottom w:val="single" w:color="000000" w:sz="4" w:space="0"/>
              <w:right w:val="single" w:color="auto" w:sz="4" w:space="0"/>
            </w:tcBorders>
            <w:vAlign w:val="center"/>
          </w:tcPr>
          <w:p>
            <w:pPr>
              <w:widowControl/>
              <w:jc w:val="left"/>
              <w:rPr>
                <w:rFonts w:ascii="Times New Roman" w:hAnsi="Times New Roman" w:eastAsia="仿宋_GB2312" w:cs="Times New Roman"/>
                <w:kern w:val="0"/>
                <w:szCs w:val="21"/>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小计</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购置费</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公务用车</w:t>
            </w:r>
            <w:r>
              <w:rPr>
                <w:rFonts w:ascii="Times New Roman" w:hAnsi="Times New Roman" w:eastAsia="仿宋_GB2312" w:cs="Times New Roman"/>
                <w:kern w:val="0"/>
                <w:szCs w:val="21"/>
              </w:rPr>
              <w:br w:type="textWrapping"/>
            </w:r>
            <w:r>
              <w:rPr>
                <w:rFonts w:ascii="Times New Roman" w:hAnsi="Times New Roman" w:eastAsia="仿宋_GB2312" w:cs="Times New Roman"/>
                <w:kern w:val="0"/>
                <w:szCs w:val="21"/>
              </w:rPr>
              <w:t>运行费</w:t>
            </w:r>
          </w:p>
        </w:tc>
        <w:tc>
          <w:tcPr>
            <w:tcW w:w="1220" w:type="dxa"/>
            <w:vMerge w:val="continue"/>
            <w:tcBorders>
              <w:top w:val="nil"/>
              <w:left w:val="single" w:color="auto" w:sz="4" w:space="0"/>
              <w:bottom w:val="single" w:color="000000" w:sz="4" w:space="0"/>
              <w:right w:val="single" w:color="auto" w:sz="8" w:space="0"/>
            </w:tcBorders>
            <w:vAlign w:val="center"/>
          </w:tcPr>
          <w:p>
            <w:pPr>
              <w:widowControl/>
              <w:jc w:val="left"/>
              <w:rPr>
                <w:rFonts w:ascii="Times New Roman" w:hAnsi="Times New Roman" w:eastAsia="仿宋_GB2312" w:cs="Times New Roman"/>
                <w:kern w:val="0"/>
                <w:szCs w:val="21"/>
              </w:rPr>
            </w:pP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7</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8</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9</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10</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11</w:t>
            </w:r>
          </w:p>
        </w:tc>
        <w:tc>
          <w:tcPr>
            <w:tcW w:w="1220" w:type="dxa"/>
            <w:tcBorders>
              <w:top w:val="nil"/>
              <w:left w:val="nil"/>
              <w:bottom w:val="single" w:color="auto" w:sz="4" w:space="0"/>
              <w:right w:val="single" w:color="auto" w:sz="8" w:space="0"/>
            </w:tcBorders>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12</w:t>
            </w:r>
          </w:p>
        </w:tc>
      </w:tr>
      <w:tr>
        <w:tblPrEx>
          <w:tblCellMar>
            <w:top w:w="0" w:type="dxa"/>
            <w:left w:w="108" w:type="dxa"/>
            <w:bottom w:w="0" w:type="dxa"/>
            <w:right w:w="108" w:type="dxa"/>
          </w:tblCellMar>
        </w:tblPrEx>
        <w:trPr>
          <w:trHeight w:val="397" w:hRule="atLeast"/>
          <w:jc w:val="center"/>
        </w:trPr>
        <w:tc>
          <w:tcPr>
            <w:tcW w:w="1220" w:type="dxa"/>
            <w:tcBorders>
              <w:top w:val="nil"/>
              <w:left w:val="single" w:color="auto" w:sz="8" w:space="0"/>
              <w:bottom w:val="single" w:color="auto" w:sz="8"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0.5</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0.5</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0.5</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single" w:color="auto" w:sz="4" w:space="0"/>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nil"/>
              <w:bottom w:val="single" w:color="auto" w:sz="8" w:space="0"/>
              <w:right w:val="nil"/>
            </w:tcBorders>
            <w:shd w:val="clear" w:color="auto" w:fill="auto"/>
            <w:vAlign w:val="center"/>
          </w:tcPr>
          <w:p>
            <w:pPr>
              <w:widowControl/>
              <w:jc w:val="righ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220" w:type="dxa"/>
            <w:tcBorders>
              <w:top w:val="nil"/>
              <w:left w:val="single" w:color="auto" w:sz="4" w:space="0"/>
              <w:bottom w:val="single" w:color="auto" w:sz="8" w:space="0"/>
              <w:right w:val="single" w:color="auto" w:sz="8" w:space="0"/>
            </w:tcBorders>
            <w:shd w:val="clear" w:color="auto" w:fill="auto"/>
            <w:vAlign w:val="center"/>
          </w:tcPr>
          <w:p>
            <w:pPr>
              <w:widowControl/>
              <w:jc w:val="right"/>
              <w:rPr>
                <w:rFonts w:hint="default"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0.5</w:t>
            </w:r>
          </w:p>
        </w:tc>
      </w:tr>
    </w:tbl>
    <w:p>
      <w:pPr>
        <w:widowControl/>
        <w:ind w:left="1198" w:leftChars="342" w:hanging="480" w:hangingChars="200"/>
        <w:jc w:val="left"/>
        <w:rPr>
          <w:rFonts w:ascii="宋体" w:eastAsia="宋体" w:cs="宋体"/>
          <w:kern w:val="0"/>
          <w:sz w:val="24"/>
          <w:szCs w:val="24"/>
        </w:rPr>
      </w:pPr>
      <w:r>
        <w:rPr>
          <w:rFonts w:hint="eastAsia" w:ascii="宋体" w:eastAsia="宋体" w:cs="宋体"/>
          <w:kern w:val="0"/>
          <w:sz w:val="24"/>
          <w:szCs w:val="24"/>
        </w:rPr>
        <w:t>注：本表反映部门本年度“三公”经费支出预决算情况。其中，预算数为“三公”经费全年预算数，反映按规定程序调整后的预算数；</w:t>
      </w:r>
      <w:r>
        <w:rPr>
          <w:rFonts w:hint="eastAsia" w:ascii="宋体" w:eastAsia="宋体" w:cs="宋体"/>
          <w:kern w:val="0"/>
          <w:sz w:val="24"/>
          <w:szCs w:val="24"/>
          <w:lang w:val="en-US" w:eastAsia="zh-CN"/>
        </w:rPr>
        <w:t xml:space="preserve">              </w:t>
      </w:r>
      <w:r>
        <w:rPr>
          <w:rFonts w:hint="eastAsia" w:ascii="宋体" w:eastAsia="宋体" w:cs="宋体"/>
          <w:kern w:val="0"/>
          <w:sz w:val="24"/>
          <w:szCs w:val="24"/>
        </w:rPr>
        <w:t>决算数是包括当年一般公共预算财政拨款和以前年度结转资金安排的实际支出。</w:t>
      </w:r>
      <w:r>
        <w:rPr>
          <w:rFonts w:ascii="宋体" w:eastAsia="宋体" w:cs="宋体"/>
          <w:kern w:val="0"/>
          <w:sz w:val="24"/>
          <w:szCs w:val="24"/>
        </w:rPr>
        <w:br w:type="page"/>
      </w:r>
    </w:p>
    <w:p>
      <w:pPr>
        <w:autoSpaceDE w:val="0"/>
        <w:autoSpaceDN w:val="0"/>
        <w:adjustRightInd w:val="0"/>
        <w:ind w:left="315" w:leftChars="150"/>
        <w:jc w:val="left"/>
        <w:rPr>
          <w:rFonts w:ascii="宋体" w:eastAsia="宋体" w:cs="宋体"/>
          <w:kern w:val="0"/>
          <w:sz w:val="24"/>
          <w:szCs w:val="24"/>
        </w:rPr>
      </w:pPr>
    </w:p>
    <w:p>
      <w:pPr>
        <w:widowControl/>
        <w:jc w:val="center"/>
        <w:rPr>
          <w:rFonts w:ascii="Times New Roman" w:hAnsi="Times New Roman" w:eastAsia="方正小标宋_GBK" w:cs="Times New Roman"/>
          <w:kern w:val="0"/>
          <w:sz w:val="36"/>
          <w:szCs w:val="36"/>
        </w:rPr>
      </w:pPr>
      <w:r>
        <w:rPr>
          <w:rFonts w:ascii="Times New Roman" w:hAnsi="Times New Roman" w:eastAsia="方正小标宋_GBK" w:cs="Times New Roman"/>
          <w:kern w:val="0"/>
          <w:sz w:val="36"/>
          <w:szCs w:val="36"/>
        </w:rPr>
        <w:t>政府性基金预算财政拨款收入支出决算表</w:t>
      </w:r>
    </w:p>
    <w:p>
      <w:pPr>
        <w:widowControl/>
        <w:wordWrap w:val="0"/>
        <w:ind w:firstLine="6720" w:firstLineChars="3200"/>
        <w:jc w:val="both"/>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 xml:space="preserve">                                                                    公开08表</w:t>
      </w:r>
    </w:p>
    <w:p>
      <w:pPr>
        <w:widowControl/>
        <w:ind w:firstLine="630" w:firstLineChars="300"/>
        <w:jc w:val="both"/>
        <w:rPr>
          <w:rFonts w:ascii="Times New Roman" w:hAnsi="Times New Roman" w:eastAsia="仿宋_GB2312" w:cs="Times New Roman"/>
          <w:color w:val="000000"/>
          <w:kern w:val="0"/>
          <w:szCs w:val="21"/>
        </w:rPr>
      </w:pPr>
      <w:r>
        <w:rPr>
          <w:rFonts w:ascii="Times New Roman" w:hAnsi="Times New Roman" w:eastAsia="仿宋_GB2312" w:cs="Times New Roman"/>
          <w:color w:val="000000"/>
          <w:kern w:val="0"/>
          <w:szCs w:val="21"/>
        </w:rPr>
        <w:t>部门：</w:t>
      </w:r>
      <w:r>
        <w:rPr>
          <w:rFonts w:hint="eastAsia" w:ascii="Times New Roman" w:hAnsi="Times New Roman" w:eastAsia="仿宋_GB2312" w:cs="Times New Roman"/>
          <w:color w:val="000000"/>
          <w:kern w:val="0"/>
          <w:szCs w:val="21"/>
          <w:lang w:val="en-US" w:eastAsia="zh-CN"/>
        </w:rPr>
        <w:t>湖南省食用菌研究所</w:t>
      </w:r>
      <w:r>
        <w:rPr>
          <w:rFonts w:ascii="Times New Roman" w:hAnsi="Times New Roman" w:eastAsia="仿宋_GB2312" w:cs="Times New Roman"/>
          <w:color w:val="000000"/>
          <w:kern w:val="0"/>
          <w:szCs w:val="21"/>
        </w:rPr>
        <w:t xml:space="preserve">    </w:t>
      </w:r>
      <w:r>
        <w:rPr>
          <w:rFonts w:hint="eastAsia" w:ascii="Times New Roman" w:hAnsi="Times New Roman" w:eastAsia="仿宋_GB2312" w:cs="Times New Roman"/>
          <w:color w:val="000000"/>
          <w:kern w:val="0"/>
          <w:szCs w:val="21"/>
          <w:lang w:val="en-US" w:eastAsia="zh-CN"/>
        </w:rPr>
        <w:t xml:space="preserve">                                                                                                </w:t>
      </w:r>
      <w:r>
        <w:rPr>
          <w:rFonts w:ascii="Times New Roman" w:hAnsi="Times New Roman" w:eastAsia="仿宋_GB2312" w:cs="Times New Roman"/>
          <w:color w:val="000000"/>
          <w:kern w:val="0"/>
          <w:szCs w:val="21"/>
        </w:rPr>
        <w:t xml:space="preserve"> 单位：万元</w:t>
      </w:r>
    </w:p>
    <w:tbl>
      <w:tblPr>
        <w:tblStyle w:val="5"/>
        <w:tblW w:w="1444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1120"/>
        <w:gridCol w:w="1320"/>
        <w:gridCol w:w="2000"/>
        <w:gridCol w:w="2000"/>
        <w:gridCol w:w="2000"/>
        <w:gridCol w:w="2000"/>
        <w:gridCol w:w="2000"/>
        <w:gridCol w:w="2000"/>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项 </w:t>
            </w:r>
            <w:r>
              <w:rPr>
                <w:rFonts w:ascii="Times New Roman" w:hAnsi="Times New Roman" w:eastAsia="仿宋_GB2312" w:cs="Times New Roman"/>
                <w:b/>
                <w:color w:val="000000"/>
                <w:kern w:val="0"/>
                <w:szCs w:val="21"/>
              </w:rPr>
              <w:t xml:space="preserve">   </w:t>
            </w:r>
            <w:r>
              <w:rPr>
                <w:rFonts w:ascii="Times New Roman" w:hAnsi="Times New Roman" w:eastAsia="仿宋_GB2312" w:cs="Times New Roman"/>
                <w:b/>
                <w:kern w:val="0"/>
                <w:szCs w:val="21"/>
              </w:rPr>
              <w:t>目</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年初结转和结余</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本年收入</w:t>
            </w:r>
          </w:p>
        </w:tc>
        <w:tc>
          <w:tcPr>
            <w:tcW w:w="6000" w:type="dxa"/>
            <w:gridSpan w:val="3"/>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本年支出</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年末结转和结余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功能分类科目编码</w:t>
            </w:r>
          </w:p>
        </w:tc>
        <w:tc>
          <w:tcPr>
            <w:tcW w:w="132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科目名称</w:t>
            </w: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continue"/>
            <w:vAlign w:val="center"/>
          </w:tcPr>
          <w:p>
            <w:pPr>
              <w:widowControl/>
              <w:jc w:val="left"/>
              <w:rPr>
                <w:rFonts w:ascii="Times New Roman" w:hAnsi="Times New Roman" w:eastAsia="仿宋_GB2312" w:cs="Times New Roman"/>
                <w:b/>
                <w:kern w:val="0"/>
                <w:szCs w:val="21"/>
              </w:rPr>
            </w:pP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小计</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 xml:space="preserve">基本支出  </w:t>
            </w:r>
          </w:p>
        </w:tc>
        <w:tc>
          <w:tcPr>
            <w:tcW w:w="2000" w:type="dxa"/>
            <w:vMerge w:val="restart"/>
            <w:shd w:val="clear" w:color="auto" w:fill="auto"/>
            <w:vAlign w:val="center"/>
          </w:tcPr>
          <w:p>
            <w:pPr>
              <w:widowControl/>
              <w:jc w:val="center"/>
              <w:rPr>
                <w:rFonts w:ascii="Times New Roman" w:hAnsi="Times New Roman" w:eastAsia="仿宋_GB2312" w:cs="Times New Roman"/>
                <w:b/>
                <w:kern w:val="0"/>
                <w:szCs w:val="21"/>
              </w:rPr>
            </w:pPr>
            <w:r>
              <w:rPr>
                <w:rFonts w:ascii="Times New Roman" w:hAnsi="Times New Roman" w:eastAsia="仿宋_GB2312" w:cs="Times New Roman"/>
                <w:b/>
                <w:kern w:val="0"/>
                <w:szCs w:val="21"/>
              </w:rPr>
              <w:t>项目支出</w:t>
            </w:r>
          </w:p>
        </w:tc>
        <w:tc>
          <w:tcPr>
            <w:tcW w:w="2000" w:type="dxa"/>
            <w:vMerge w:val="continue"/>
            <w:vAlign w:val="center"/>
          </w:tcPr>
          <w:p>
            <w:pPr>
              <w:widowControl/>
              <w:jc w:val="left"/>
              <w:rPr>
                <w:rFonts w:ascii="Times New Roman" w:hAnsi="Times New Roman" w:eastAsia="仿宋_GB2312" w:cs="Times New Roman"/>
                <w:b/>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vMerge w:val="continue"/>
            <w:vAlign w:val="center"/>
          </w:tcPr>
          <w:p>
            <w:pPr>
              <w:widowControl/>
              <w:jc w:val="left"/>
              <w:rPr>
                <w:rFonts w:ascii="Times New Roman" w:hAnsi="Times New Roman" w:eastAsia="仿宋_GB2312" w:cs="Times New Roman"/>
                <w:kern w:val="0"/>
                <w:szCs w:val="21"/>
              </w:rPr>
            </w:pPr>
          </w:p>
        </w:tc>
        <w:tc>
          <w:tcPr>
            <w:tcW w:w="132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c>
          <w:tcPr>
            <w:tcW w:w="2000" w:type="dxa"/>
            <w:vMerge w:val="continue"/>
            <w:vAlign w:val="center"/>
          </w:tcPr>
          <w:p>
            <w:pPr>
              <w:widowControl/>
              <w:jc w:val="left"/>
              <w:rPr>
                <w:rFonts w:ascii="Times New Roman" w:hAnsi="Times New Roman" w:eastAsia="仿宋_GB2312" w:cs="Times New Roman"/>
                <w:kern w:val="0"/>
                <w:szCs w:val="21"/>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栏次</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1</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2</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3</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4</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5</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2440" w:type="dxa"/>
            <w:gridSpan w:val="2"/>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合计</w:t>
            </w:r>
          </w:p>
        </w:tc>
        <w:tc>
          <w:tcPr>
            <w:tcW w:w="2000" w:type="dxa"/>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r>
              <w:rPr>
                <w:rFonts w:ascii="Times New Roman" w:hAnsi="Times New Roman" w:eastAsia="仿宋_GB2312" w:cs="Times New Roman"/>
                <w:kern w:val="0"/>
                <w:szCs w:val="21"/>
              </w:rPr>
              <w:t>　</w:t>
            </w:r>
          </w:p>
        </w:tc>
        <w:tc>
          <w:tcPr>
            <w:tcW w:w="2000" w:type="dxa"/>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hint="eastAsia" w:ascii="Times New Roman" w:hAnsi="Times New Roman" w:eastAsia="仿宋_GB2312" w:cs="Times New Roman"/>
                <w:kern w:val="0"/>
                <w:szCs w:val="21"/>
                <w:lang w:val="en-US" w:eastAsia="zh-CN"/>
              </w:rPr>
            </w:pPr>
            <w:r>
              <w:rPr>
                <w:rFonts w:ascii="Times New Roman" w:hAnsi="Times New Roman" w:eastAsia="仿宋_GB2312" w:cs="Times New Roman"/>
                <w:kern w:val="0"/>
                <w:szCs w:val="21"/>
              </w:rPr>
              <w:t>　</w:t>
            </w:r>
            <w:r>
              <w:rPr>
                <w:rFonts w:hint="eastAsia" w:ascii="Times New Roman" w:hAnsi="Times New Roman" w:eastAsia="仿宋_GB2312" w:cs="Times New Roman"/>
                <w:kern w:val="0"/>
                <w:szCs w:val="21"/>
                <w:lang w:val="en-US" w:eastAsia="zh-CN"/>
              </w:rPr>
              <w:t>0</w:t>
            </w:r>
          </w:p>
        </w:tc>
        <w:tc>
          <w:tcPr>
            <w:tcW w:w="2000" w:type="dxa"/>
            <w:shd w:val="clear" w:color="auto" w:fill="auto"/>
            <w:vAlign w:val="center"/>
          </w:tcPr>
          <w:p>
            <w:pPr>
              <w:widowControl/>
              <w:jc w:val="center"/>
              <w:rPr>
                <w:rFonts w:ascii="Times New Roman" w:hAnsi="Times New Roman" w:eastAsia="仿宋_GB2312" w:cs="Times New Roman"/>
                <w:kern w:val="0"/>
                <w:szCs w:val="21"/>
              </w:rPr>
            </w:pPr>
            <w:r>
              <w:rPr>
                <w:rFonts w:hint="eastAsia" w:ascii="Times New Roman" w:hAnsi="Times New Roman" w:eastAsia="仿宋_GB2312" w:cs="Times New Roman"/>
                <w:kern w:val="0"/>
                <w:szCs w:val="21"/>
                <w:lang w:val="en-US" w:eastAsia="zh-CN"/>
              </w:rPr>
              <w:t>0</w:t>
            </w: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54" w:hRule="atLeast"/>
          <w:jc w:val="center"/>
        </w:trPr>
        <w:tc>
          <w:tcPr>
            <w:tcW w:w="1120" w:type="dxa"/>
            <w:shd w:val="clear" w:color="auto" w:fill="auto"/>
            <w:vAlign w:val="center"/>
          </w:tcPr>
          <w:p>
            <w:pPr>
              <w:widowControl/>
              <w:jc w:val="center"/>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132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c>
          <w:tcPr>
            <w:tcW w:w="2000" w:type="dxa"/>
            <w:shd w:val="clear" w:color="auto" w:fill="auto"/>
            <w:vAlign w:val="center"/>
          </w:tcPr>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　</w:t>
            </w:r>
          </w:p>
        </w:tc>
      </w:tr>
    </w:tbl>
    <w:p>
      <w:pPr>
        <w:widowControl/>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注：本表反映部门本年度政府性基金预算财政拨款收入、支出及结转和结余情况</w:t>
      </w:r>
    </w:p>
    <w:p>
      <w:pPr>
        <w:widowControl/>
        <w:ind w:firstLine="630" w:firstLineChars="300"/>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rPr>
        <w:t>说明：</w:t>
      </w:r>
      <w:r>
        <w:rPr>
          <w:rFonts w:hint="eastAsia" w:ascii="Times New Roman" w:hAnsi="Times New Roman" w:eastAsia="仿宋_GB2312" w:cs="Times New Roman"/>
          <w:kern w:val="0"/>
          <w:szCs w:val="21"/>
          <w:lang w:val="en-US" w:eastAsia="zh-CN"/>
        </w:rPr>
        <w:t>湖南省食用菌研究所</w:t>
      </w:r>
      <w:r>
        <w:rPr>
          <w:rFonts w:hint="eastAsia" w:ascii="Times New Roman" w:hAnsi="Times New Roman" w:eastAsia="仿宋_GB2312" w:cs="Times New Roman"/>
          <w:kern w:val="0"/>
          <w:szCs w:val="21"/>
        </w:rPr>
        <w:t>没有政府性基金收入，也没有使用政府性基金安排的支出，故本表无数据</w:t>
      </w:r>
      <w:r>
        <w:rPr>
          <w:rFonts w:ascii="Times New Roman" w:hAnsi="Times New Roman" w:eastAsia="仿宋_GB2312" w:cs="Times New Roman"/>
          <w:kern w:val="0"/>
          <w:szCs w:val="21"/>
        </w:rPr>
        <w:t>)。</w:t>
      </w:r>
    </w:p>
    <w:p>
      <w:pPr>
        <w:widowControl/>
        <w:jc w:val="left"/>
        <w:rPr>
          <w:rFonts w:ascii="黑体" w:hAnsi="黑体" w:eastAsia="黑体"/>
          <w:szCs w:val="21"/>
        </w:rPr>
      </w:pPr>
      <w:r>
        <w:rPr>
          <w:rFonts w:ascii="黑体" w:hAnsi="黑体" w:eastAsia="黑体"/>
          <w:szCs w:val="21"/>
        </w:rPr>
        <w:br w:type="page"/>
      </w:r>
    </w:p>
    <w:tbl>
      <w:tblPr>
        <w:tblStyle w:val="5"/>
        <w:tblW w:w="14190" w:type="dxa"/>
        <w:tblInd w:w="93" w:type="dxa"/>
        <w:tblLayout w:type="autofit"/>
        <w:tblCellMar>
          <w:top w:w="0" w:type="dxa"/>
          <w:left w:w="108" w:type="dxa"/>
          <w:bottom w:w="0" w:type="dxa"/>
          <w:right w:w="108" w:type="dxa"/>
        </w:tblCellMar>
      </w:tblPr>
      <w:tblGrid>
        <w:gridCol w:w="1060"/>
        <w:gridCol w:w="560"/>
        <w:gridCol w:w="1089"/>
        <w:gridCol w:w="2126"/>
        <w:gridCol w:w="1225"/>
        <w:gridCol w:w="1326"/>
        <w:gridCol w:w="1294"/>
        <w:gridCol w:w="1683"/>
        <w:gridCol w:w="3827"/>
      </w:tblGrid>
      <w:tr>
        <w:tblPrEx>
          <w:tblCellMar>
            <w:top w:w="0" w:type="dxa"/>
            <w:left w:w="108" w:type="dxa"/>
            <w:bottom w:w="0" w:type="dxa"/>
            <w:right w:w="108" w:type="dxa"/>
          </w:tblCellMar>
        </w:tblPrEx>
        <w:trPr>
          <w:trHeight w:val="720" w:hRule="atLeast"/>
        </w:trPr>
        <w:tc>
          <w:tcPr>
            <w:tcW w:w="14190" w:type="dxa"/>
            <w:gridSpan w:val="9"/>
            <w:tcBorders>
              <w:top w:val="nil"/>
              <w:left w:val="nil"/>
              <w:bottom w:val="nil"/>
              <w:right w:val="nil"/>
            </w:tcBorders>
            <w:shd w:val="clear" w:color="000000" w:fill="FFFFFF"/>
            <w:vAlign w:val="center"/>
          </w:tcPr>
          <w:p>
            <w:pPr>
              <w:widowControl/>
              <w:jc w:val="center"/>
              <w:rPr>
                <w:rFonts w:ascii="华文中宋" w:hAnsi="华文中宋" w:eastAsia="华文中宋" w:cs="宋体"/>
                <w:kern w:val="0"/>
                <w:sz w:val="32"/>
                <w:szCs w:val="32"/>
              </w:rPr>
            </w:pPr>
            <w:r>
              <w:rPr>
                <w:rFonts w:hint="eastAsia" w:ascii="华文中宋" w:hAnsi="华文中宋" w:eastAsia="华文中宋" w:cs="宋体"/>
                <w:kern w:val="0"/>
                <w:sz w:val="32"/>
                <w:szCs w:val="32"/>
              </w:rPr>
              <w:t>国有资本经营预算财政拨款支出决算表</w:t>
            </w:r>
          </w:p>
        </w:tc>
      </w:tr>
      <w:tr>
        <w:tblPrEx>
          <w:tblCellMar>
            <w:top w:w="0" w:type="dxa"/>
            <w:left w:w="108" w:type="dxa"/>
            <w:bottom w:w="0" w:type="dxa"/>
            <w:right w:w="108" w:type="dxa"/>
          </w:tblCellMar>
        </w:tblPrEx>
        <w:trPr>
          <w:trHeight w:val="285" w:hRule="atLeast"/>
        </w:trPr>
        <w:tc>
          <w:tcPr>
            <w:tcW w:w="10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560" w:type="dxa"/>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3215" w:type="dxa"/>
            <w:gridSpan w:val="2"/>
            <w:tcBorders>
              <w:top w:val="nil"/>
              <w:left w:val="nil"/>
              <w:bottom w:val="nil"/>
              <w:right w:val="nil"/>
            </w:tcBorders>
            <w:shd w:val="clear" w:color="000000" w:fill="FFFFFF"/>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　</w:t>
            </w:r>
          </w:p>
        </w:tc>
        <w:tc>
          <w:tcPr>
            <w:tcW w:w="1225" w:type="dxa"/>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nil"/>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公开09表</w:t>
            </w:r>
          </w:p>
        </w:tc>
      </w:tr>
      <w:tr>
        <w:tblPrEx>
          <w:tblCellMar>
            <w:top w:w="0" w:type="dxa"/>
            <w:left w:w="108" w:type="dxa"/>
            <w:bottom w:w="0" w:type="dxa"/>
            <w:right w:w="108" w:type="dxa"/>
          </w:tblCellMar>
        </w:tblPrEx>
        <w:trPr>
          <w:trHeight w:val="285" w:hRule="atLeast"/>
        </w:trPr>
        <w:tc>
          <w:tcPr>
            <w:tcW w:w="4835" w:type="dxa"/>
            <w:gridSpan w:val="4"/>
            <w:tcBorders>
              <w:top w:val="nil"/>
              <w:left w:val="nil"/>
              <w:bottom w:val="nil"/>
              <w:right w:val="nil"/>
            </w:tcBorders>
            <w:shd w:val="clear" w:color="000000" w:fill="FFFFFF"/>
            <w:noWrap/>
            <w:vAlign w:val="center"/>
          </w:tcPr>
          <w:p>
            <w:pPr>
              <w:widowControl/>
              <w:jc w:val="left"/>
              <w:rPr>
                <w:rFonts w:ascii="宋体" w:hAnsi="宋体" w:eastAsia="宋体" w:cs="宋体"/>
                <w:kern w:val="0"/>
                <w:sz w:val="20"/>
                <w:szCs w:val="20"/>
              </w:rPr>
            </w:pPr>
            <w:r>
              <w:rPr>
                <w:rFonts w:hint="eastAsia" w:ascii="宋体" w:hAnsi="宋体" w:eastAsia="宋体" w:cs="宋体"/>
                <w:color w:val="000000"/>
                <w:kern w:val="0"/>
                <w:sz w:val="20"/>
                <w:szCs w:val="20"/>
              </w:rPr>
              <w:t>部门：</w:t>
            </w:r>
            <w:r>
              <w:rPr>
                <w:rFonts w:hint="eastAsia" w:ascii="宋体" w:hAnsi="宋体" w:eastAsia="宋体" w:cs="宋体"/>
                <w:color w:val="000000"/>
                <w:kern w:val="0"/>
                <w:sz w:val="20"/>
                <w:szCs w:val="20"/>
                <w:lang w:val="en-US" w:eastAsia="zh-CN"/>
              </w:rPr>
              <w:t>湖南省食用菌研究所</w:t>
            </w:r>
            <w:r>
              <w:rPr>
                <w:rFonts w:hint="eastAsia" w:ascii="宋体" w:hAnsi="宋体" w:eastAsia="宋体" w:cs="宋体"/>
                <w:kern w:val="0"/>
                <w:sz w:val="20"/>
                <w:szCs w:val="20"/>
              </w:rPr>
              <w:t>　</w:t>
            </w:r>
          </w:p>
        </w:tc>
        <w:tc>
          <w:tcPr>
            <w:tcW w:w="1225" w:type="dxa"/>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620" w:type="dxa"/>
            <w:gridSpan w:val="2"/>
            <w:tcBorders>
              <w:top w:val="nil"/>
              <w:left w:val="nil"/>
              <w:bottom w:val="single" w:color="auto" w:sz="8" w:space="0"/>
              <w:right w:val="nil"/>
            </w:tcBorders>
            <w:shd w:val="clear" w:color="000000" w:fill="FFFFFF"/>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5510" w:type="dxa"/>
            <w:gridSpan w:val="2"/>
            <w:tcBorders>
              <w:top w:val="nil"/>
              <w:left w:val="nil"/>
              <w:bottom w:val="nil"/>
              <w:right w:val="nil"/>
            </w:tcBorders>
            <w:shd w:val="clear" w:color="000000" w:fill="FFFFFF"/>
            <w:noWrap/>
            <w:vAlign w:val="center"/>
          </w:tcPr>
          <w:p>
            <w:pPr>
              <w:widowControl/>
              <w:jc w:val="right"/>
              <w:rPr>
                <w:rFonts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0" w:type="dxa"/>
            <w:left w:w="108" w:type="dxa"/>
            <w:bottom w:w="0" w:type="dxa"/>
            <w:right w:w="108" w:type="dxa"/>
          </w:tblCellMar>
        </w:tblPrEx>
        <w:trPr>
          <w:trHeight w:val="402" w:hRule="atLeast"/>
        </w:trPr>
        <w:tc>
          <w:tcPr>
            <w:tcW w:w="4835" w:type="dxa"/>
            <w:gridSpan w:val="4"/>
            <w:tcBorders>
              <w:top w:val="single" w:color="auto" w:sz="8"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项 </w:t>
            </w:r>
            <w:r>
              <w:rPr>
                <w:rFonts w:hint="eastAsia" w:ascii="宋体" w:hAnsi="宋体" w:eastAsia="宋体" w:cs="宋体"/>
                <w:color w:val="000000"/>
                <w:kern w:val="0"/>
                <w:sz w:val="22"/>
              </w:rPr>
              <w:t xml:space="preserve">   </w:t>
            </w:r>
            <w:r>
              <w:rPr>
                <w:rFonts w:hint="eastAsia" w:ascii="宋体" w:hAnsi="宋体" w:eastAsia="宋体" w:cs="宋体"/>
                <w:kern w:val="0"/>
                <w:sz w:val="24"/>
                <w:szCs w:val="24"/>
              </w:rPr>
              <w:t>目</w:t>
            </w:r>
          </w:p>
        </w:tc>
        <w:tc>
          <w:tcPr>
            <w:tcW w:w="9355" w:type="dxa"/>
            <w:gridSpan w:val="5"/>
            <w:tcBorders>
              <w:top w:val="single" w:color="auto" w:sz="8" w:space="0"/>
              <w:left w:val="nil"/>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本年支出</w:t>
            </w:r>
          </w:p>
        </w:tc>
      </w:tr>
      <w:tr>
        <w:tblPrEx>
          <w:tblCellMar>
            <w:top w:w="0" w:type="dxa"/>
            <w:left w:w="108" w:type="dxa"/>
            <w:bottom w:w="0" w:type="dxa"/>
            <w:right w:w="108" w:type="dxa"/>
          </w:tblCellMar>
        </w:tblPrEx>
        <w:trPr>
          <w:trHeight w:val="402" w:hRule="atLeast"/>
        </w:trPr>
        <w:tc>
          <w:tcPr>
            <w:tcW w:w="2709" w:type="dxa"/>
            <w:gridSpan w:val="3"/>
            <w:vMerge w:val="restart"/>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功能分类科目编码</w:t>
            </w:r>
          </w:p>
        </w:tc>
        <w:tc>
          <w:tcPr>
            <w:tcW w:w="212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科目名称</w:t>
            </w:r>
          </w:p>
        </w:tc>
        <w:tc>
          <w:tcPr>
            <w:tcW w:w="2551"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97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xml:space="preserve">基本支出  </w:t>
            </w:r>
          </w:p>
        </w:tc>
        <w:tc>
          <w:tcPr>
            <w:tcW w:w="3827"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项目支出</w:t>
            </w: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2709" w:type="dxa"/>
            <w:gridSpan w:val="3"/>
            <w:vMerge w:val="continue"/>
            <w:tcBorders>
              <w:top w:val="single" w:color="auto" w:sz="4" w:space="0"/>
              <w:left w:val="single" w:color="auto" w:sz="8"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126"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4"/>
                <w:szCs w:val="24"/>
              </w:rPr>
            </w:pPr>
          </w:p>
        </w:tc>
        <w:tc>
          <w:tcPr>
            <w:tcW w:w="2551"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2977" w:type="dxa"/>
            <w:gridSpan w:val="2"/>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c>
          <w:tcPr>
            <w:tcW w:w="3827"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402" w:hRule="atLeast"/>
        </w:trPr>
        <w:tc>
          <w:tcPr>
            <w:tcW w:w="4835" w:type="dxa"/>
            <w:gridSpan w:val="4"/>
            <w:tcBorders>
              <w:top w:val="single" w:color="auto" w:sz="4" w:space="0"/>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栏次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2</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3</w:t>
            </w:r>
          </w:p>
        </w:tc>
      </w:tr>
      <w:tr>
        <w:tblPrEx>
          <w:tblCellMar>
            <w:top w:w="0" w:type="dxa"/>
            <w:left w:w="108" w:type="dxa"/>
            <w:bottom w:w="0" w:type="dxa"/>
            <w:right w:w="108" w:type="dxa"/>
          </w:tblCellMar>
        </w:tblPrEx>
        <w:trPr>
          <w:trHeight w:val="402" w:hRule="atLeast"/>
        </w:trPr>
        <w:tc>
          <w:tcPr>
            <w:tcW w:w="4835" w:type="dxa"/>
            <w:gridSpan w:val="4"/>
            <w:tcBorders>
              <w:top w:val="nil"/>
              <w:left w:val="single" w:color="auto" w:sz="8" w:space="0"/>
              <w:bottom w:val="single" w:color="auto" w:sz="4" w:space="0"/>
              <w:right w:val="single" w:color="000000"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合计</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lang w:val="en-US" w:eastAsia="zh-CN"/>
              </w:rPr>
              <w:t>0</w:t>
            </w: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402" w:hRule="atLeast"/>
        </w:trPr>
        <w:tc>
          <w:tcPr>
            <w:tcW w:w="1620" w:type="dxa"/>
            <w:gridSpan w:val="2"/>
            <w:tcBorders>
              <w:top w:val="single" w:color="auto" w:sz="4" w:space="0"/>
              <w:left w:val="single" w:color="auto" w:sz="8" w:space="0"/>
              <w:bottom w:val="single" w:color="auto" w:sz="8" w:space="0"/>
              <w:right w:val="single" w:color="auto" w:sz="4" w:space="0"/>
            </w:tcBorders>
            <w:shd w:val="clear" w:color="auto" w:fill="auto"/>
            <w:vAlign w:val="center"/>
          </w:tcPr>
          <w:p>
            <w:pPr>
              <w:widowControl/>
              <w:jc w:val="center"/>
              <w:rPr>
                <w:rFonts w:ascii="宋体" w:hAnsi="宋体" w:eastAsia="宋体" w:cs="宋体"/>
                <w:kern w:val="0"/>
                <w:sz w:val="24"/>
                <w:szCs w:val="24"/>
              </w:rPr>
            </w:pPr>
            <w:r>
              <w:rPr>
                <w:rFonts w:hint="eastAsia" w:ascii="宋体" w:hAnsi="宋体" w:eastAsia="宋体" w:cs="宋体"/>
                <w:kern w:val="0"/>
                <w:sz w:val="24"/>
                <w:szCs w:val="24"/>
              </w:rPr>
              <w:t>　</w:t>
            </w:r>
          </w:p>
        </w:tc>
        <w:tc>
          <w:tcPr>
            <w:tcW w:w="3215"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551"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2977" w:type="dxa"/>
            <w:gridSpan w:val="2"/>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c>
          <w:tcPr>
            <w:tcW w:w="3827" w:type="dxa"/>
            <w:tcBorders>
              <w:top w:val="nil"/>
              <w:left w:val="nil"/>
              <w:bottom w:val="single" w:color="auto" w:sz="8" w:space="0"/>
              <w:right w:val="single" w:color="auto" w:sz="4" w:space="0"/>
            </w:tcBorders>
            <w:shd w:val="clear" w:color="auto" w:fill="auto"/>
            <w:vAlign w:val="center"/>
          </w:tcPr>
          <w:p>
            <w:pPr>
              <w:widowControl/>
              <w:jc w:val="left"/>
              <w:rPr>
                <w:rFonts w:ascii="宋体" w:hAnsi="宋体" w:eastAsia="宋体" w:cs="宋体"/>
                <w:kern w:val="0"/>
                <w:sz w:val="24"/>
                <w:szCs w:val="24"/>
              </w:rPr>
            </w:pPr>
            <w:r>
              <w:rPr>
                <w:rFonts w:hint="eastAsia" w:ascii="宋体" w:hAnsi="宋体" w:eastAsia="宋体" w:cs="宋体"/>
                <w:kern w:val="0"/>
                <w:sz w:val="24"/>
                <w:szCs w:val="24"/>
              </w:rPr>
              <w:t>　</w:t>
            </w:r>
          </w:p>
        </w:tc>
      </w:tr>
      <w:tr>
        <w:tblPrEx>
          <w:tblCellMar>
            <w:top w:w="0" w:type="dxa"/>
            <w:left w:w="108" w:type="dxa"/>
            <w:bottom w:w="0" w:type="dxa"/>
            <w:right w:w="108" w:type="dxa"/>
          </w:tblCellMar>
        </w:tblPrEx>
        <w:trPr>
          <w:trHeight w:val="720" w:hRule="atLeast"/>
        </w:trPr>
        <w:tc>
          <w:tcPr>
            <w:tcW w:w="14190" w:type="dxa"/>
            <w:gridSpan w:val="9"/>
            <w:tcBorders>
              <w:top w:val="single" w:color="auto" w:sz="8" w:space="0"/>
              <w:left w:val="nil"/>
              <w:bottom w:val="nil"/>
              <w:right w:val="nil"/>
            </w:tcBorders>
            <w:shd w:val="clear" w:color="auto" w:fill="auto"/>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注：本表反映部门本年度国有资本经营预算财政拨款支出情况。</w:t>
            </w:r>
          </w:p>
          <w:p>
            <w:pPr>
              <w:widowControl/>
              <w:jc w:val="left"/>
              <w:rPr>
                <w:rFonts w:ascii="Times New Roman" w:hAnsi="Times New Roman" w:eastAsia="仿宋_GB2312" w:cs="Times New Roman"/>
                <w:kern w:val="0"/>
                <w:szCs w:val="21"/>
              </w:rPr>
            </w:pPr>
            <w:r>
              <w:rPr>
                <w:rFonts w:ascii="Times New Roman" w:hAnsi="Times New Roman" w:eastAsia="仿宋_GB2312" w:cs="Times New Roman"/>
                <w:kern w:val="0"/>
                <w:szCs w:val="21"/>
              </w:rPr>
              <w:t>(</w:t>
            </w:r>
            <w:r>
              <w:rPr>
                <w:rFonts w:hint="eastAsia" w:ascii="Times New Roman" w:hAnsi="Times New Roman" w:eastAsia="仿宋_GB2312" w:cs="Times New Roman"/>
                <w:kern w:val="0"/>
                <w:szCs w:val="21"/>
              </w:rPr>
              <w:t>说明：</w:t>
            </w:r>
            <w:r>
              <w:rPr>
                <w:rFonts w:hint="eastAsia" w:ascii="Times New Roman" w:hAnsi="Times New Roman" w:eastAsia="仿宋_GB2312" w:cs="Times New Roman"/>
                <w:kern w:val="0"/>
                <w:szCs w:val="21"/>
                <w:lang w:val="en-US" w:eastAsia="zh-CN"/>
              </w:rPr>
              <w:t>我单位没有使用国有资本经营预算安排的支出，故本表无数据</w:t>
            </w:r>
            <w:r>
              <w:rPr>
                <w:rFonts w:ascii="Times New Roman" w:hAnsi="Times New Roman" w:eastAsia="仿宋_GB2312" w:cs="Times New Roman"/>
                <w:kern w:val="0"/>
                <w:szCs w:val="21"/>
              </w:rPr>
              <w:t>)。</w:t>
            </w:r>
          </w:p>
          <w:p>
            <w:pPr>
              <w:widowControl/>
              <w:jc w:val="left"/>
              <w:rPr>
                <w:rFonts w:hint="eastAsia" w:ascii="宋体" w:hAnsi="宋体" w:eastAsia="宋体" w:cs="宋体"/>
                <w:kern w:val="0"/>
                <w:sz w:val="24"/>
                <w:szCs w:val="24"/>
              </w:rPr>
            </w:pPr>
          </w:p>
        </w:tc>
      </w:tr>
    </w:tbl>
    <w:p>
      <w:pPr>
        <w:pStyle w:val="9"/>
        <w:rPr>
          <w:sz w:val="72"/>
          <w:szCs w:val="72"/>
        </w:rPr>
        <w:sectPr>
          <w:pgSz w:w="16838" w:h="11906" w:orient="landscape"/>
          <w:pgMar w:top="567" w:right="567" w:bottom="567" w:left="850" w:header="851" w:footer="992" w:gutter="0"/>
          <w:cols w:space="425" w:num="1"/>
          <w:docGrid w:type="lines" w:linePitch="312" w:charSpace="0"/>
        </w:sectPr>
      </w:pPr>
    </w:p>
    <w:p>
      <w:pPr>
        <w:pStyle w:val="9"/>
        <w:rPr>
          <w:sz w:val="72"/>
          <w:szCs w:val="72"/>
        </w:rPr>
      </w:pPr>
    </w:p>
    <w:p>
      <w:pPr>
        <w:pStyle w:val="9"/>
        <w:rPr>
          <w:sz w:val="72"/>
          <w:szCs w:val="72"/>
        </w:rPr>
      </w:pPr>
    </w:p>
    <w:p>
      <w:pPr>
        <w:pStyle w:val="9"/>
        <w:rPr>
          <w:sz w:val="72"/>
          <w:szCs w:val="72"/>
        </w:rPr>
      </w:pPr>
    </w:p>
    <w:p>
      <w:pPr>
        <w:pStyle w:val="9"/>
        <w:jc w:val="both"/>
        <w:rPr>
          <w:sz w:val="72"/>
          <w:szCs w:val="72"/>
        </w:rPr>
      </w:pPr>
    </w:p>
    <w:p>
      <w:pPr>
        <w:pStyle w:val="9"/>
        <w:jc w:val="center"/>
        <w:rPr>
          <w:sz w:val="72"/>
          <w:szCs w:val="72"/>
        </w:rPr>
      </w:pPr>
      <w:r>
        <w:rPr>
          <w:rFonts w:hint="eastAsia"/>
          <w:sz w:val="72"/>
          <w:szCs w:val="72"/>
        </w:rPr>
        <w:t>第三部分</w:t>
      </w:r>
    </w:p>
    <w:p>
      <w:pPr>
        <w:pStyle w:val="9"/>
        <w:jc w:val="center"/>
        <w:rPr>
          <w:sz w:val="70"/>
          <w:szCs w:val="70"/>
        </w:rPr>
      </w:pPr>
    </w:p>
    <w:p>
      <w:pPr>
        <w:pStyle w:val="9"/>
        <w:jc w:val="center"/>
        <w:rPr>
          <w:sz w:val="70"/>
          <w:szCs w:val="70"/>
        </w:rPr>
      </w:pPr>
      <w:r>
        <w:rPr>
          <w:sz w:val="70"/>
          <w:szCs w:val="70"/>
        </w:rPr>
        <w:t>20</w:t>
      </w:r>
      <w:r>
        <w:rPr>
          <w:rFonts w:hint="eastAsia"/>
          <w:sz w:val="70"/>
          <w:szCs w:val="70"/>
        </w:rPr>
        <w:t>21年度部门决算情况说明</w:t>
      </w:r>
    </w:p>
    <w:p>
      <w:pPr>
        <w:widowControl/>
        <w:jc w:val="left"/>
        <w:rPr>
          <w:rFonts w:ascii="黑体" w:eastAsia="黑体" w:cs="黑体"/>
          <w:color w:val="000000"/>
          <w:kern w:val="0"/>
          <w:sz w:val="70"/>
          <w:szCs w:val="70"/>
        </w:rPr>
      </w:pPr>
      <w:r>
        <w:rPr>
          <w:sz w:val="70"/>
          <w:szCs w:val="70"/>
        </w:rPr>
        <w:br w:type="page"/>
      </w:r>
    </w:p>
    <w:p>
      <w:pPr>
        <w:pStyle w:val="9"/>
        <w:rPr>
          <w:rFonts w:asciiTheme="minorEastAsia" w:hAnsiTheme="minorEastAsia" w:eastAsiaTheme="minorEastAsia"/>
          <w:sz w:val="32"/>
          <w:szCs w:val="32"/>
        </w:rPr>
      </w:pPr>
    </w:p>
    <w:p>
      <w:pPr>
        <w:pStyle w:val="9"/>
        <w:rPr>
          <w:rFonts w:hAnsi="黑体"/>
          <w:b/>
          <w:sz w:val="32"/>
          <w:szCs w:val="32"/>
        </w:rPr>
      </w:pPr>
      <w:r>
        <w:rPr>
          <w:rFonts w:hint="eastAsia" w:hAnsi="黑体"/>
          <w:b/>
          <w:sz w:val="32"/>
          <w:szCs w:val="32"/>
        </w:rPr>
        <w:t>一、收入支出决算总体情况说明</w:t>
      </w:r>
    </w:p>
    <w:p>
      <w:pPr>
        <w:pStyle w:val="9"/>
        <w:ind w:firstLine="640" w:firstLineChars="20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2021年度收、支总计</w:t>
      </w:r>
      <w:r>
        <w:rPr>
          <w:rFonts w:hint="eastAsia" w:asciiTheme="minorEastAsia" w:hAnsiTheme="minorEastAsia" w:eastAsiaTheme="minorEastAsia"/>
          <w:sz w:val="32"/>
          <w:szCs w:val="32"/>
          <w:lang w:val="en-US" w:eastAsia="zh-CN"/>
        </w:rPr>
        <w:t>955.65</w:t>
      </w:r>
      <w:r>
        <w:rPr>
          <w:rFonts w:hint="eastAsia" w:asciiTheme="minorEastAsia" w:hAnsiTheme="minorEastAsia" w:eastAsiaTheme="minorEastAsia"/>
          <w:sz w:val="32"/>
          <w:szCs w:val="32"/>
        </w:rPr>
        <w:t>万元。与上年相比，增加</w:t>
      </w:r>
      <w:r>
        <w:rPr>
          <w:rFonts w:hint="eastAsia" w:asciiTheme="minorEastAsia" w:hAnsiTheme="minorEastAsia" w:eastAsiaTheme="minorEastAsia"/>
          <w:sz w:val="32"/>
          <w:szCs w:val="32"/>
          <w:lang w:val="en-US" w:eastAsia="zh-CN"/>
        </w:rPr>
        <w:t>25.02</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使用了非财政拨款结余资金在本年形成了支出。</w:t>
      </w:r>
    </w:p>
    <w:p>
      <w:pPr>
        <w:pStyle w:val="9"/>
        <w:rPr>
          <w:rFonts w:hAnsi="黑体"/>
          <w:b/>
          <w:sz w:val="32"/>
          <w:szCs w:val="32"/>
        </w:rPr>
      </w:pPr>
      <w:r>
        <w:rPr>
          <w:rFonts w:hint="eastAsia" w:hAnsi="黑体"/>
          <w:b/>
          <w:sz w:val="32"/>
          <w:szCs w:val="32"/>
        </w:rPr>
        <w:t>二、收入决算情况说明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2021年度收入合计</w:t>
      </w:r>
      <w:r>
        <w:rPr>
          <w:rFonts w:hint="eastAsia" w:asciiTheme="minorEastAsia" w:hAnsiTheme="minorEastAsia" w:eastAsiaTheme="minorEastAsia"/>
          <w:sz w:val="32"/>
          <w:szCs w:val="32"/>
          <w:lang w:val="en-US" w:eastAsia="zh-CN"/>
        </w:rPr>
        <w:t>760.92</w:t>
      </w:r>
      <w:r>
        <w:rPr>
          <w:rFonts w:hint="eastAsia" w:asciiTheme="minorEastAsia" w:hAnsiTheme="minorEastAsia" w:eastAsiaTheme="minorEastAsia"/>
          <w:sz w:val="32"/>
          <w:szCs w:val="32"/>
        </w:rPr>
        <w:t>万元，其中：财政拨款收入</w:t>
      </w:r>
      <w:r>
        <w:rPr>
          <w:rFonts w:hint="eastAsia" w:asciiTheme="minorEastAsia" w:hAnsiTheme="minorEastAsia" w:eastAsiaTheme="minorEastAsia"/>
          <w:sz w:val="32"/>
          <w:szCs w:val="32"/>
          <w:lang w:val="en-US" w:eastAsia="zh-CN"/>
        </w:rPr>
        <w:t>707.02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93</w:t>
      </w:r>
      <w:r>
        <w:rPr>
          <w:rFonts w:hint="eastAsia" w:asciiTheme="minorEastAsia" w:hAnsiTheme="minorEastAsia" w:eastAsiaTheme="minorEastAsia"/>
          <w:sz w:val="32"/>
          <w:szCs w:val="32"/>
        </w:rPr>
        <w:t>%；其他收入</w:t>
      </w:r>
      <w:r>
        <w:rPr>
          <w:rFonts w:hint="eastAsia" w:asciiTheme="minorEastAsia" w:hAnsiTheme="minorEastAsia" w:eastAsiaTheme="minorEastAsia"/>
          <w:sz w:val="32"/>
          <w:szCs w:val="32"/>
          <w:lang w:val="en-US" w:eastAsia="zh-CN"/>
        </w:rPr>
        <w:t>53.9</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7</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三、支出决算情况说明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2021年度支出合计</w:t>
      </w:r>
      <w:r>
        <w:rPr>
          <w:rFonts w:hint="eastAsia" w:asciiTheme="minorEastAsia" w:hAnsiTheme="minorEastAsia" w:eastAsiaTheme="minorEastAsia"/>
          <w:sz w:val="32"/>
          <w:szCs w:val="32"/>
          <w:lang w:val="en-US" w:eastAsia="zh-CN"/>
        </w:rPr>
        <w:t>813.97</w:t>
      </w:r>
      <w:r>
        <w:rPr>
          <w:rFonts w:hint="eastAsia" w:asciiTheme="minorEastAsia" w:hAnsiTheme="minorEastAsia" w:eastAsiaTheme="minorEastAsia"/>
          <w:sz w:val="32"/>
          <w:szCs w:val="32"/>
        </w:rPr>
        <w:t>万元，其中：基本支出</w:t>
      </w:r>
      <w:r>
        <w:rPr>
          <w:rFonts w:hint="eastAsia" w:asciiTheme="minorEastAsia" w:hAnsiTheme="minorEastAsia" w:eastAsiaTheme="minorEastAsia"/>
          <w:sz w:val="32"/>
          <w:szCs w:val="32"/>
          <w:lang w:val="en-US" w:eastAsia="zh-CN"/>
        </w:rPr>
        <w:t>665.92</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82</w:t>
      </w:r>
      <w:r>
        <w:rPr>
          <w:rFonts w:hint="eastAsia" w:asciiTheme="minorEastAsia" w:hAnsiTheme="minorEastAsia" w:eastAsiaTheme="minorEastAsia"/>
          <w:sz w:val="32"/>
          <w:szCs w:val="32"/>
        </w:rPr>
        <w:t>%；项目支出</w:t>
      </w:r>
      <w:r>
        <w:rPr>
          <w:rFonts w:hint="eastAsia" w:asciiTheme="minorEastAsia" w:hAnsiTheme="minorEastAsia" w:eastAsiaTheme="minorEastAsia"/>
          <w:sz w:val="32"/>
          <w:szCs w:val="32"/>
          <w:lang w:val="en-US" w:eastAsia="zh-CN"/>
        </w:rPr>
        <w:t>148.04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18</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四、财政拨款收入支出决算总体情况说明</w:t>
      </w:r>
    </w:p>
    <w:p>
      <w:pPr>
        <w:pStyle w:val="9"/>
        <w:rPr>
          <w:rFonts w:hAnsi="黑体"/>
          <w:b/>
          <w:sz w:val="32"/>
          <w:szCs w:val="32"/>
        </w:rPr>
      </w:pPr>
      <w:r>
        <w:rPr>
          <w:rFonts w:hint="eastAsia" w:asciiTheme="minorEastAsia" w:hAnsiTheme="minorEastAsia" w:eastAsiaTheme="minorEastAsia"/>
          <w:sz w:val="32"/>
          <w:szCs w:val="32"/>
        </w:rPr>
        <w:t xml:space="preserve">    2021年度财政拨款收、支总计</w:t>
      </w:r>
      <w:r>
        <w:rPr>
          <w:rFonts w:hint="eastAsia" w:asciiTheme="minorEastAsia" w:hAnsiTheme="minorEastAsia" w:eastAsiaTheme="minorEastAsia"/>
          <w:sz w:val="32"/>
          <w:szCs w:val="32"/>
          <w:lang w:val="en-US" w:eastAsia="zh-CN"/>
        </w:rPr>
        <w:t>819.77</w:t>
      </w:r>
      <w:r>
        <w:rPr>
          <w:rFonts w:hint="eastAsia" w:asciiTheme="minorEastAsia" w:hAnsiTheme="minorEastAsia" w:eastAsiaTheme="minorEastAsia"/>
          <w:sz w:val="32"/>
          <w:szCs w:val="32"/>
        </w:rPr>
        <w:t>万元，与上年相比，减少</w:t>
      </w:r>
      <w:r>
        <w:rPr>
          <w:rFonts w:hint="eastAsia" w:asciiTheme="minorEastAsia" w:hAnsiTheme="minorEastAsia" w:eastAsiaTheme="minorEastAsia"/>
          <w:sz w:val="32"/>
          <w:szCs w:val="32"/>
          <w:lang w:val="en-US" w:eastAsia="zh-CN"/>
        </w:rPr>
        <w:t>20.8</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2021年较2020年人员人数减少了，导致人员经费减少</w:t>
      </w:r>
      <w:r>
        <w:rPr>
          <w:rFonts w:hint="eastAsia" w:asciiTheme="minorEastAsia" w:hAnsiTheme="minorEastAsia" w:eastAsiaTheme="minorEastAsia"/>
          <w:sz w:val="32"/>
          <w:szCs w:val="32"/>
          <w:lang w:eastAsia="zh-CN"/>
        </w:rPr>
        <w:t>。</w:t>
      </w:r>
      <w:r>
        <w:rPr>
          <w:rFonts w:hint="eastAsia" w:hAnsi="黑体"/>
          <w:b/>
          <w:sz w:val="32"/>
          <w:szCs w:val="32"/>
        </w:rPr>
        <w:t>五、一般公共预算财政拨款支出决算情况说明</w:t>
      </w:r>
    </w:p>
    <w:p>
      <w:pPr>
        <w:pStyle w:val="9"/>
        <w:ind w:firstLine="640" w:firstLineChars="200"/>
        <w:rPr>
          <w:rFonts w:asciiTheme="minorEastAsia" w:hAnsiTheme="minorEastAsia" w:eastAsiaTheme="minorEastAsia"/>
          <w:b/>
          <w:sz w:val="32"/>
          <w:szCs w:val="32"/>
        </w:rPr>
      </w:pPr>
      <w:r>
        <w:rPr>
          <w:rFonts w:hint="eastAsia" w:asciiTheme="minorEastAsia" w:hAnsiTheme="minorEastAsia" w:eastAsiaTheme="minorEastAsia"/>
          <w:b/>
          <w:sz w:val="32"/>
          <w:szCs w:val="32"/>
        </w:rPr>
        <w:t>（一）财政拨款支出决算总体情况</w:t>
      </w:r>
    </w:p>
    <w:p>
      <w:pPr>
        <w:pStyle w:val="9"/>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691.87</w:t>
      </w:r>
      <w:r>
        <w:rPr>
          <w:rFonts w:hint="eastAsia" w:asciiTheme="minorEastAsia" w:hAnsiTheme="minorEastAsia" w:eastAsiaTheme="minorEastAsia"/>
          <w:sz w:val="32"/>
          <w:szCs w:val="32"/>
        </w:rPr>
        <w:t>万元，占本年支出合计的</w:t>
      </w:r>
      <w:r>
        <w:rPr>
          <w:rFonts w:hint="eastAsia" w:asciiTheme="minorEastAsia" w:hAnsiTheme="minorEastAsia" w:eastAsiaTheme="minorEastAsia"/>
          <w:sz w:val="32"/>
          <w:szCs w:val="32"/>
          <w:lang w:val="en-US" w:eastAsia="zh-CN"/>
        </w:rPr>
        <w:t>85</w:t>
      </w:r>
      <w:r>
        <w:rPr>
          <w:rFonts w:hint="eastAsia" w:asciiTheme="minorEastAsia" w:hAnsiTheme="minorEastAsia" w:eastAsiaTheme="minorEastAsia"/>
          <w:sz w:val="32"/>
          <w:szCs w:val="32"/>
        </w:rPr>
        <w:t>%，与上年相比，财政拨款支出减少</w:t>
      </w:r>
      <w:r>
        <w:rPr>
          <w:rFonts w:hint="eastAsia" w:asciiTheme="minorEastAsia" w:hAnsiTheme="minorEastAsia" w:eastAsiaTheme="minorEastAsia"/>
          <w:sz w:val="32"/>
          <w:szCs w:val="32"/>
          <w:lang w:val="en-US" w:eastAsia="zh-CN"/>
        </w:rPr>
        <w:t>17.26</w:t>
      </w:r>
      <w:r>
        <w:rPr>
          <w:rFonts w:hint="eastAsia" w:asciiTheme="minorEastAsia" w:hAnsiTheme="minorEastAsia" w:eastAsiaTheme="minorEastAsia"/>
          <w:sz w:val="32"/>
          <w:szCs w:val="32"/>
        </w:rPr>
        <w:t>万元，减少</w:t>
      </w:r>
      <w:r>
        <w:rPr>
          <w:rFonts w:hint="eastAsia" w:asciiTheme="minorEastAsia" w:hAnsiTheme="minorEastAsia" w:eastAsiaTheme="minorEastAsia"/>
          <w:sz w:val="32"/>
          <w:szCs w:val="32"/>
          <w:lang w:val="en-US" w:eastAsia="zh-CN"/>
        </w:rPr>
        <w:t>2</w:t>
      </w:r>
      <w:r>
        <w:rPr>
          <w:rFonts w:hint="eastAsia" w:asciiTheme="minorEastAsia" w:hAnsiTheme="minorEastAsia" w:eastAsiaTheme="minorEastAsia"/>
          <w:sz w:val="32"/>
          <w:szCs w:val="32"/>
        </w:rPr>
        <w:t>%，主要是因为</w:t>
      </w:r>
      <w:r>
        <w:rPr>
          <w:rFonts w:hint="eastAsia" w:asciiTheme="minorEastAsia" w:hAnsiTheme="minorEastAsia" w:eastAsiaTheme="minorEastAsia"/>
          <w:sz w:val="32"/>
          <w:szCs w:val="32"/>
          <w:lang w:val="en-US" w:eastAsia="zh-CN"/>
        </w:rPr>
        <w:t>2021年较2020年人员人数减少了，导致人员经费减少。</w:t>
      </w:r>
    </w:p>
    <w:p>
      <w:pPr>
        <w:pStyle w:val="9"/>
        <w:ind w:firstLine="480" w:firstLineChars="150"/>
        <w:rPr>
          <w:rFonts w:asciiTheme="minorEastAsia" w:hAnsiTheme="minorEastAsia" w:eastAsiaTheme="minorEastAsia"/>
          <w:b/>
          <w:sz w:val="32"/>
          <w:szCs w:val="32"/>
        </w:rPr>
      </w:pPr>
      <w:r>
        <w:rPr>
          <w:rFonts w:hint="eastAsia" w:asciiTheme="minorEastAsia" w:hAnsiTheme="minorEastAsia" w:eastAsiaTheme="minorEastAsia"/>
          <w:b/>
          <w:sz w:val="32"/>
          <w:szCs w:val="32"/>
        </w:rPr>
        <w:t>（二）财政拨款支出决算结构情况</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w:t>
      </w:r>
      <w:r>
        <w:rPr>
          <w:rFonts w:hint="eastAsia" w:asciiTheme="minorEastAsia" w:hAnsiTheme="minorEastAsia" w:eastAsiaTheme="minorEastAsia"/>
          <w:sz w:val="32"/>
          <w:szCs w:val="32"/>
          <w:lang w:val="en-US" w:eastAsia="zh-CN"/>
        </w:rPr>
        <w:t>691.87</w:t>
      </w:r>
      <w:r>
        <w:rPr>
          <w:rFonts w:hint="eastAsia" w:asciiTheme="minorEastAsia" w:hAnsiTheme="minorEastAsia" w:eastAsiaTheme="minorEastAsia"/>
          <w:sz w:val="32"/>
          <w:szCs w:val="32"/>
        </w:rPr>
        <w:t>万元，主要用于以下方面：一般公共服务（类）支出</w:t>
      </w:r>
      <w:r>
        <w:rPr>
          <w:rFonts w:hint="eastAsia" w:asciiTheme="minorEastAsia" w:hAnsiTheme="minorEastAsia" w:eastAsiaTheme="minorEastAsia"/>
          <w:sz w:val="32"/>
          <w:szCs w:val="32"/>
          <w:lang w:val="en-US" w:eastAsia="zh-CN"/>
        </w:rPr>
        <w:t>5.24</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0.76</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科学技术</w:t>
      </w:r>
      <w:r>
        <w:rPr>
          <w:rFonts w:hint="eastAsia" w:asciiTheme="minorEastAsia" w:hAnsiTheme="minorEastAsia" w:eastAsiaTheme="minorEastAsia"/>
          <w:sz w:val="32"/>
          <w:szCs w:val="32"/>
        </w:rPr>
        <w:t>（类）支出</w:t>
      </w:r>
      <w:r>
        <w:rPr>
          <w:rFonts w:hint="eastAsia" w:asciiTheme="minorEastAsia" w:hAnsiTheme="minorEastAsia" w:eastAsiaTheme="minorEastAsia"/>
          <w:sz w:val="32"/>
          <w:szCs w:val="32"/>
          <w:lang w:val="en-US" w:eastAsia="zh-CN"/>
        </w:rPr>
        <w:t>568.16</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82.12</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社会保障和就业支出64万元，占9.25%；农林水支出2.03万元，占0.29%；住房保障支出52.44万元，占7.58%。</w:t>
      </w:r>
    </w:p>
    <w:p>
      <w:pPr>
        <w:pStyle w:val="9"/>
        <w:ind w:firstLine="800" w:firstLineChars="250"/>
        <w:rPr>
          <w:rFonts w:asciiTheme="minorEastAsia" w:hAnsiTheme="minorEastAsia" w:eastAsiaTheme="minorEastAsia"/>
          <w:b/>
          <w:sz w:val="32"/>
          <w:szCs w:val="32"/>
        </w:rPr>
      </w:pPr>
      <w:r>
        <w:rPr>
          <w:rFonts w:hint="eastAsia" w:asciiTheme="minorEastAsia" w:hAnsiTheme="minorEastAsia" w:eastAsiaTheme="minorEastAsia"/>
          <w:b/>
          <w:sz w:val="32"/>
          <w:szCs w:val="32"/>
        </w:rPr>
        <w:t>（三）财政拨款支出决算具体情况</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2021年度财政拨款支出年初预算数为</w:t>
      </w:r>
      <w:r>
        <w:rPr>
          <w:rFonts w:hint="eastAsia" w:asciiTheme="minorEastAsia" w:hAnsiTheme="minorEastAsia" w:eastAsiaTheme="minorEastAsia"/>
          <w:sz w:val="32"/>
          <w:szCs w:val="32"/>
          <w:lang w:val="en-US" w:eastAsia="zh-CN"/>
        </w:rPr>
        <w:t>758.75</w:t>
      </w:r>
      <w:r>
        <w:rPr>
          <w:rFonts w:hint="eastAsia" w:asciiTheme="minorEastAsia" w:hAnsiTheme="minorEastAsia" w:eastAsiaTheme="minorEastAsia"/>
          <w:sz w:val="32"/>
          <w:szCs w:val="32"/>
        </w:rPr>
        <w:t>万元，支出决算数为</w:t>
      </w:r>
      <w:r>
        <w:rPr>
          <w:rFonts w:hint="eastAsia" w:asciiTheme="minorEastAsia" w:hAnsiTheme="minorEastAsia" w:eastAsiaTheme="minorEastAsia"/>
          <w:sz w:val="32"/>
          <w:szCs w:val="32"/>
          <w:lang w:val="en-US" w:eastAsia="zh-CN"/>
        </w:rPr>
        <w:t>691.87</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91.19</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决算数与预算数形成差异的主要原因如下</w:t>
      </w:r>
      <w:r>
        <w:rPr>
          <w:rFonts w:hint="eastAsia" w:asciiTheme="minorEastAsia" w:hAnsiTheme="minorEastAsia" w:eastAsiaTheme="minorEastAsia"/>
          <w:sz w:val="32"/>
          <w:szCs w:val="32"/>
        </w:rPr>
        <w:t>：</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1、</w:t>
      </w:r>
      <w:r>
        <w:rPr>
          <w:rFonts w:hint="eastAsia" w:asciiTheme="minorEastAsia" w:hAnsiTheme="minorEastAsia" w:eastAsiaTheme="minorEastAsia"/>
          <w:sz w:val="32"/>
          <w:szCs w:val="32"/>
          <w:lang w:val="en-US" w:eastAsia="zh-CN"/>
        </w:rPr>
        <w:t>一般公共服务支出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市场监督管理事务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质量基础</w:t>
      </w:r>
      <w:r>
        <w:rPr>
          <w:rFonts w:hint="eastAsia" w:asciiTheme="minorEastAsia" w:hAnsiTheme="minorEastAsia" w:eastAsiaTheme="minorEastAsia"/>
          <w:sz w:val="32"/>
          <w:szCs w:val="32"/>
        </w:rPr>
        <w:t>（项）</w:t>
      </w:r>
    </w:p>
    <w:p>
      <w:pPr>
        <w:pStyle w:val="9"/>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1.4</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5.24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374.29</w:t>
      </w:r>
      <w:r>
        <w:rPr>
          <w:rFonts w:hint="eastAsia" w:asciiTheme="minorEastAsia" w:hAnsiTheme="minorEastAsia" w:eastAsiaTheme="minorEastAsia"/>
          <w:sz w:val="32"/>
          <w:szCs w:val="32"/>
        </w:rPr>
        <w:t>%，决算数大于年初预算数的主要原因是：</w:t>
      </w:r>
      <w:r>
        <w:rPr>
          <w:rFonts w:hint="eastAsia" w:asciiTheme="minorEastAsia" w:hAnsiTheme="minorEastAsia" w:eastAsiaTheme="minorEastAsia"/>
          <w:sz w:val="32"/>
          <w:szCs w:val="32"/>
          <w:lang w:val="en-US" w:eastAsia="zh-CN"/>
        </w:rPr>
        <w:t>年中追加的科研项目经费5万元在本年形成支出3.89万元。</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2、</w:t>
      </w:r>
      <w:r>
        <w:rPr>
          <w:rFonts w:hint="eastAsia" w:asciiTheme="minorEastAsia" w:hAnsiTheme="minorEastAsia" w:eastAsiaTheme="minorEastAsia"/>
          <w:sz w:val="32"/>
          <w:szCs w:val="32"/>
          <w:lang w:val="en-US" w:eastAsia="zh-CN"/>
        </w:rPr>
        <w:t>科学技术支出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基础研究</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自然科学基金</w:t>
      </w:r>
      <w:r>
        <w:rPr>
          <w:rFonts w:hint="eastAsia" w:asciiTheme="minorEastAsia" w:hAnsiTheme="minorEastAsia" w:eastAsiaTheme="minorEastAsia"/>
          <w:sz w:val="32"/>
          <w:szCs w:val="32"/>
        </w:rPr>
        <w:t>（项）</w:t>
      </w:r>
    </w:p>
    <w:p>
      <w:pPr>
        <w:pStyle w:val="9"/>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8</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18.6</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232.5</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val="en-US" w:eastAsia="zh-CN"/>
        </w:rPr>
        <w:t>年中追加自然科学基金项目15.1万元在本年形成支出。</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3</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科学技术支出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应用研究</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机构运行</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475.81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475.8</w:t>
      </w:r>
      <w:r>
        <w:rPr>
          <w:rFonts w:hint="eastAsia" w:asciiTheme="minorEastAsia" w:hAnsiTheme="minorEastAsia" w:eastAsiaTheme="minorEastAsia"/>
          <w:sz w:val="32"/>
          <w:szCs w:val="32"/>
        </w:rPr>
        <w:t>万元，完成年初预算</w:t>
      </w:r>
      <w:r>
        <w:rPr>
          <w:rFonts w:hint="eastAsia" w:asciiTheme="minorEastAsia" w:hAnsiTheme="minorEastAsia" w:eastAsiaTheme="minorEastAsia"/>
          <w:sz w:val="32"/>
          <w:szCs w:val="32"/>
          <w:lang w:val="en-US" w:eastAsia="zh-CN"/>
        </w:rPr>
        <w:t>约100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约等于</w:t>
      </w:r>
      <w:r>
        <w:rPr>
          <w:rFonts w:hint="eastAsia" w:asciiTheme="minorEastAsia" w:hAnsiTheme="minorEastAsia" w:eastAsiaTheme="minorEastAsia"/>
          <w:sz w:val="32"/>
          <w:szCs w:val="32"/>
        </w:rPr>
        <w:t>年初预算数</w:t>
      </w:r>
      <w:r>
        <w:rPr>
          <w:rFonts w:hint="eastAsia" w:asciiTheme="minorEastAsia" w:hAnsiTheme="minorEastAsia" w:eastAsiaTheme="minorEastAsia"/>
          <w:sz w:val="32"/>
          <w:szCs w:val="32"/>
          <w:lang w:val="en-US" w:eastAsia="zh-CN"/>
        </w:rPr>
        <w:t>。</w:t>
      </w:r>
    </w:p>
    <w:p>
      <w:pPr>
        <w:pStyle w:val="9"/>
        <w:numPr>
          <w:ilvl w:val="0"/>
          <w:numId w:val="3"/>
        </w:numPr>
        <w:ind w:firstLine="800" w:firstLineChars="250"/>
        <w:rPr>
          <w:rFonts w:hint="eastAsia"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科学技术支出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应用研究</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社会公益研究</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9.52</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val="en-US" w:eastAsia="zh-CN"/>
        </w:rPr>
        <w:t>年中追加的项目经费10万元在本年形成支出9.52万元。</w:t>
      </w:r>
    </w:p>
    <w:p>
      <w:pPr>
        <w:pStyle w:val="9"/>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5、科学技术支出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科技条件与服务</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其他科技条件与服务支出</w:t>
      </w:r>
      <w:r>
        <w:rPr>
          <w:rFonts w:hint="eastAsia" w:asciiTheme="minorEastAsia" w:hAnsiTheme="minorEastAsia" w:eastAsiaTheme="minorEastAsia"/>
          <w:sz w:val="32"/>
          <w:szCs w:val="32"/>
        </w:rPr>
        <w:t>（项）</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小于</w:t>
      </w:r>
      <w:r>
        <w:rPr>
          <w:rFonts w:hint="eastAsia" w:asciiTheme="minorEastAsia" w:hAnsiTheme="minorEastAsia" w:eastAsiaTheme="minorEastAsia"/>
          <w:sz w:val="32"/>
          <w:szCs w:val="32"/>
        </w:rPr>
        <w:t>年初预算数的主要原因是：“珍稀食用菌科技创新基地建设”</w:t>
      </w:r>
      <w:r>
        <w:rPr>
          <w:rFonts w:hint="eastAsia" w:asciiTheme="minorEastAsia" w:hAnsiTheme="minorEastAsia" w:eastAsiaTheme="minorEastAsia"/>
          <w:sz w:val="32"/>
          <w:szCs w:val="32"/>
          <w:lang w:val="en-US" w:eastAsia="zh-CN"/>
        </w:rPr>
        <w:t>项目100万</w:t>
      </w:r>
      <w:r>
        <w:rPr>
          <w:rFonts w:hint="eastAsia" w:asciiTheme="minorEastAsia" w:hAnsiTheme="minorEastAsia" w:eastAsiaTheme="minorEastAsia"/>
          <w:sz w:val="32"/>
          <w:szCs w:val="32"/>
        </w:rPr>
        <w:t>元正在进行政府采购程序，该项目实施日期为2021年1月1日至2022年12月31日，本年度未到付款阶段，故未形成支出。</w:t>
      </w:r>
    </w:p>
    <w:p>
      <w:pPr>
        <w:pStyle w:val="9"/>
        <w:numPr>
          <w:ilvl w:val="0"/>
          <w:numId w:val="4"/>
        </w:numPr>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科学技术支出（类）科技重大项目（款）重点研发计划（项）</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50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47.24</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94.48</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小于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rPr>
        <w:t>农业秸秆资源食用菌基料化高效循环利用关键技术研究与示范</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项目还在实施中，资金支付进度按照项目进展情况有序进行。</w:t>
      </w:r>
    </w:p>
    <w:p>
      <w:pPr>
        <w:pStyle w:val="9"/>
        <w:numPr>
          <w:ilvl w:val="0"/>
          <w:numId w:val="4"/>
        </w:numPr>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科学技术支出（类）其他科学技术支出（款）其他科学技术支出（项）</w:t>
      </w:r>
    </w:p>
    <w:p>
      <w:pPr>
        <w:pStyle w:val="9"/>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10</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val="en-US" w:eastAsia="zh-CN"/>
        </w:rPr>
        <w:t>年中追加基础平台维修项目资金在本年形成支出10万元。</w:t>
      </w:r>
    </w:p>
    <w:p>
      <w:pPr>
        <w:pStyle w:val="9"/>
        <w:numPr>
          <w:ilvl w:val="0"/>
          <w:numId w:val="4"/>
        </w:numPr>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农林水支出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农业农村</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农产品质量安全</w:t>
      </w:r>
      <w:r>
        <w:rPr>
          <w:rFonts w:hint="eastAsia" w:asciiTheme="minorEastAsia" w:hAnsiTheme="minorEastAsia" w:eastAsiaTheme="minorEastAsia"/>
          <w:sz w:val="32"/>
          <w:szCs w:val="32"/>
        </w:rPr>
        <w:t>（项）</w:t>
      </w:r>
    </w:p>
    <w:p>
      <w:pPr>
        <w:pStyle w:val="9"/>
        <w:ind w:firstLine="800" w:firstLineChars="250"/>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0.1</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0.08</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80</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eastAsia="zh-CN"/>
        </w:rPr>
        <w:t>。</w:t>
      </w:r>
    </w:p>
    <w:p>
      <w:pPr>
        <w:pStyle w:val="9"/>
        <w:numPr>
          <w:ilvl w:val="0"/>
          <w:numId w:val="4"/>
        </w:numPr>
        <w:ind w:firstLine="800" w:firstLineChars="250"/>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农林水支出</w:t>
      </w:r>
      <w:r>
        <w:rPr>
          <w:rFonts w:hint="eastAsia" w:asciiTheme="minorEastAsia" w:hAnsiTheme="minorEastAsia" w:eastAsiaTheme="minorEastAsia"/>
          <w:sz w:val="32"/>
          <w:szCs w:val="32"/>
        </w:rPr>
        <w:t>（类）</w:t>
      </w:r>
      <w:r>
        <w:rPr>
          <w:rFonts w:hint="eastAsia" w:asciiTheme="minorEastAsia" w:hAnsiTheme="minorEastAsia" w:eastAsiaTheme="minorEastAsia"/>
          <w:sz w:val="32"/>
          <w:szCs w:val="32"/>
          <w:lang w:val="en-US" w:eastAsia="zh-CN"/>
        </w:rPr>
        <w:t>农业农村</w:t>
      </w:r>
      <w:r>
        <w:rPr>
          <w:rFonts w:hint="eastAsia" w:asciiTheme="minorEastAsia" w:hAnsiTheme="minorEastAsia" w:eastAsiaTheme="minorEastAsia"/>
          <w:sz w:val="32"/>
          <w:szCs w:val="32"/>
        </w:rPr>
        <w:t>（款）</w:t>
      </w:r>
      <w:r>
        <w:rPr>
          <w:rFonts w:hint="eastAsia" w:asciiTheme="minorEastAsia" w:hAnsiTheme="minorEastAsia" w:eastAsiaTheme="minorEastAsia"/>
          <w:sz w:val="32"/>
          <w:szCs w:val="32"/>
          <w:lang w:val="en-US" w:eastAsia="zh-CN"/>
        </w:rPr>
        <w:t>农业生产发展</w:t>
      </w:r>
      <w:r>
        <w:rPr>
          <w:rFonts w:hint="eastAsia" w:asciiTheme="minorEastAsia" w:hAnsiTheme="minorEastAsia" w:eastAsiaTheme="minorEastAsia"/>
          <w:sz w:val="32"/>
          <w:szCs w:val="32"/>
        </w:rPr>
        <w:t>（项）</w:t>
      </w:r>
    </w:p>
    <w:p>
      <w:pPr>
        <w:pStyle w:val="9"/>
        <w:ind w:firstLine="800" w:firstLineChars="250"/>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年初预算为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1.95</w:t>
      </w:r>
      <w:r>
        <w:rPr>
          <w:rFonts w:hint="eastAsia" w:asciiTheme="minorEastAsia" w:hAnsiTheme="minorEastAsia" w:eastAsiaTheme="minorEastAsia"/>
          <w:sz w:val="32"/>
          <w:szCs w:val="32"/>
        </w:rPr>
        <w:t>万元，完成年初预算的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%，决算数</w:t>
      </w:r>
      <w:r>
        <w:rPr>
          <w:rFonts w:hint="eastAsia" w:asciiTheme="minorEastAsia" w:hAnsiTheme="minorEastAsia" w:eastAsiaTheme="minorEastAsia"/>
          <w:sz w:val="32"/>
          <w:szCs w:val="32"/>
          <w:lang w:val="en-US" w:eastAsia="zh-CN"/>
        </w:rPr>
        <w:t>大于</w:t>
      </w:r>
      <w:r>
        <w:rPr>
          <w:rFonts w:hint="eastAsia" w:asciiTheme="minorEastAsia" w:hAnsiTheme="minorEastAsia" w:eastAsiaTheme="minorEastAsia"/>
          <w:sz w:val="32"/>
          <w:szCs w:val="32"/>
        </w:rPr>
        <w:t>年初预算数的主要原因是：</w:t>
      </w:r>
      <w:r>
        <w:rPr>
          <w:rFonts w:hint="eastAsia" w:asciiTheme="minorEastAsia" w:hAnsiTheme="minorEastAsia" w:eastAsiaTheme="minorEastAsia"/>
          <w:sz w:val="32"/>
          <w:szCs w:val="32"/>
          <w:lang w:val="en-US" w:eastAsia="zh-CN"/>
        </w:rPr>
        <w:t>年中追加农业种质资源调查项目20万元在本年形成支出1.95万元。</w:t>
      </w:r>
    </w:p>
    <w:p>
      <w:pPr>
        <w:pStyle w:val="9"/>
        <w:rPr>
          <w:rFonts w:hAnsi="黑体"/>
          <w:b/>
          <w:sz w:val="32"/>
          <w:szCs w:val="32"/>
        </w:rPr>
      </w:pPr>
      <w:r>
        <w:rPr>
          <w:rFonts w:hint="eastAsia" w:hAnsi="黑体"/>
          <w:b/>
          <w:sz w:val="32"/>
          <w:szCs w:val="32"/>
        </w:rPr>
        <w:t>六、一般公共预算财政拨款基本支出决算情况说明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i/>
          <w:color w:val="FF0000"/>
          <w:sz w:val="32"/>
          <w:szCs w:val="32"/>
        </w:rPr>
      </w:pPr>
      <w:r>
        <w:rPr>
          <w:rFonts w:hint="eastAsia" w:asciiTheme="minorEastAsia" w:hAnsiTheme="minorEastAsia" w:eastAsiaTheme="minorEastAsia"/>
          <w:sz w:val="32"/>
          <w:szCs w:val="32"/>
        </w:rPr>
        <w:t>2021年度财政拨款基本支出</w:t>
      </w:r>
      <w:r>
        <w:rPr>
          <w:rFonts w:hint="eastAsia" w:asciiTheme="minorEastAsia" w:hAnsiTheme="minorEastAsia" w:eastAsiaTheme="minorEastAsia"/>
          <w:sz w:val="32"/>
          <w:szCs w:val="32"/>
          <w:lang w:val="en-US" w:eastAsia="zh-CN"/>
        </w:rPr>
        <w:t>592.24</w:t>
      </w:r>
      <w:r>
        <w:rPr>
          <w:rFonts w:hint="eastAsia" w:asciiTheme="minorEastAsia" w:hAnsiTheme="minorEastAsia" w:eastAsiaTheme="minorEastAsia"/>
          <w:sz w:val="32"/>
          <w:szCs w:val="32"/>
        </w:rPr>
        <w:t>万元，其中：人员经费</w:t>
      </w:r>
      <w:r>
        <w:rPr>
          <w:rFonts w:hint="eastAsia" w:asciiTheme="minorEastAsia" w:hAnsiTheme="minorEastAsia" w:eastAsiaTheme="minorEastAsia"/>
          <w:sz w:val="32"/>
          <w:szCs w:val="32"/>
          <w:lang w:val="en-US" w:eastAsia="zh-CN"/>
        </w:rPr>
        <w:t>517.43</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87.37</w:t>
      </w:r>
      <w:r>
        <w:rPr>
          <w:rFonts w:hint="eastAsia" w:asciiTheme="minorEastAsia" w:hAnsiTheme="minorEastAsia" w:eastAsiaTheme="minorEastAsia"/>
          <w:sz w:val="32"/>
          <w:szCs w:val="32"/>
        </w:rPr>
        <w:t>%,主要包括基本工资、津贴补贴、奖金、</w:t>
      </w:r>
      <w:r>
        <w:rPr>
          <w:rFonts w:hint="eastAsia" w:asciiTheme="minorEastAsia" w:hAnsiTheme="minorEastAsia" w:eastAsiaTheme="minorEastAsia"/>
          <w:sz w:val="32"/>
          <w:szCs w:val="32"/>
          <w:lang w:val="en-US" w:eastAsia="zh-CN"/>
        </w:rPr>
        <w:t>绩效工资、机关事业单位基本养老保险缴费、职业年金缴费、职工基本医疗保险缴费、其他社会保险缴费、住房公积金、其他工资福利支出、生活补贴、退休费</w:t>
      </w:r>
      <w:r>
        <w:rPr>
          <w:rFonts w:hint="eastAsia" w:asciiTheme="minorEastAsia" w:hAnsiTheme="minorEastAsia" w:eastAsiaTheme="minorEastAsia"/>
          <w:sz w:val="32"/>
          <w:szCs w:val="32"/>
        </w:rPr>
        <w:t>；公用经费</w:t>
      </w:r>
      <w:r>
        <w:rPr>
          <w:rFonts w:hint="eastAsia" w:asciiTheme="minorEastAsia" w:hAnsiTheme="minorEastAsia" w:eastAsiaTheme="minorEastAsia"/>
          <w:sz w:val="32"/>
          <w:szCs w:val="32"/>
          <w:lang w:val="en-US" w:eastAsia="zh-CN"/>
        </w:rPr>
        <w:t>74.81</w:t>
      </w:r>
      <w:r>
        <w:rPr>
          <w:rFonts w:hint="eastAsia" w:asciiTheme="minorEastAsia" w:hAnsiTheme="minorEastAsia" w:eastAsiaTheme="minorEastAsia"/>
          <w:sz w:val="32"/>
          <w:szCs w:val="32"/>
        </w:rPr>
        <w:t>万元，占基本支出的</w:t>
      </w:r>
      <w:r>
        <w:rPr>
          <w:rFonts w:hint="eastAsia" w:asciiTheme="minorEastAsia" w:hAnsiTheme="minorEastAsia" w:eastAsiaTheme="minorEastAsia"/>
          <w:sz w:val="32"/>
          <w:szCs w:val="32"/>
          <w:lang w:val="en-US" w:eastAsia="zh-CN"/>
        </w:rPr>
        <w:t>12.63</w:t>
      </w:r>
      <w:r>
        <w:rPr>
          <w:rFonts w:hint="eastAsia" w:asciiTheme="minorEastAsia" w:hAnsiTheme="minorEastAsia" w:eastAsiaTheme="minorEastAsia"/>
          <w:sz w:val="32"/>
          <w:szCs w:val="32"/>
        </w:rPr>
        <w:t>%，主要包括办公费、印刷费、</w:t>
      </w:r>
      <w:r>
        <w:rPr>
          <w:rFonts w:hint="eastAsia" w:asciiTheme="minorEastAsia" w:hAnsiTheme="minorEastAsia" w:eastAsiaTheme="minorEastAsia"/>
          <w:sz w:val="32"/>
          <w:szCs w:val="32"/>
          <w:lang w:val="en-US" w:eastAsia="zh-CN"/>
        </w:rPr>
        <w:t>咨询费、电费</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邮电费、差旅费、维修（护）费、培训费、公务接待费、劳务费、工会经费、福利费、其他交通费、税金及附加费、其他商品和服务支出</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七、一般公共预算财政拨款“三公”经费支出决算情况说明</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（一）“三公”经费财政拨款支出决算总体情况说明</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2021年度“三公”经费财政拨款支出预算为</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因公出国（境）费支出预算为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公务接待费支出预算为</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%，与上年相比增加</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万元，增长</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%,增长的主要原因是2020年年中压缩一般性支出时将公务接待费预算指标</w:t>
      </w:r>
      <w:r>
        <w:rPr>
          <w:rFonts w:hint="eastAsia" w:asciiTheme="minorEastAsia" w:hAnsiTheme="minorEastAsia" w:eastAsiaTheme="minorEastAsia"/>
          <w:sz w:val="32"/>
          <w:szCs w:val="32"/>
          <w:lang w:val="en-US" w:eastAsia="zh-CN"/>
        </w:rPr>
        <w:t>由0.5万元</w:t>
      </w:r>
      <w:r>
        <w:rPr>
          <w:rFonts w:hint="eastAsia" w:asciiTheme="minorEastAsia" w:hAnsiTheme="minorEastAsia" w:eastAsiaTheme="minorEastAsia"/>
          <w:sz w:val="32"/>
          <w:szCs w:val="32"/>
        </w:rPr>
        <w:t>压减至0，</w:t>
      </w:r>
      <w:r>
        <w:rPr>
          <w:rFonts w:hint="eastAsia" w:asciiTheme="minorEastAsia" w:hAnsiTheme="minorEastAsia" w:eastAsiaTheme="minorEastAsia"/>
          <w:sz w:val="32"/>
          <w:szCs w:val="32"/>
          <w:lang w:val="en-US" w:eastAsia="zh-CN"/>
        </w:rPr>
        <w:t>2021年</w:t>
      </w:r>
      <w:r>
        <w:rPr>
          <w:rFonts w:hint="eastAsia" w:asciiTheme="minorEastAsia" w:hAnsiTheme="minorEastAsia" w:eastAsiaTheme="minorEastAsia"/>
          <w:sz w:val="32"/>
          <w:szCs w:val="32"/>
        </w:rPr>
        <w:t>公务接待费预算为</w:t>
      </w:r>
      <w:r>
        <w:rPr>
          <w:rFonts w:hint="eastAsia" w:asciiTheme="minorEastAsia" w:hAnsiTheme="minorEastAsia" w:eastAsiaTheme="minorEastAsia"/>
          <w:sz w:val="32"/>
          <w:szCs w:val="32"/>
          <w:lang w:val="en-US" w:eastAsia="zh-CN"/>
        </w:rPr>
        <w:t>0.5万</w:t>
      </w:r>
      <w:r>
        <w:rPr>
          <w:rFonts w:hint="eastAsia" w:asciiTheme="minorEastAsia" w:hAnsiTheme="minorEastAsia" w:eastAsiaTheme="minorEastAsia"/>
          <w:sz w:val="32"/>
          <w:szCs w:val="32"/>
        </w:rPr>
        <w:t>元</w:t>
      </w:r>
      <w:r>
        <w:rPr>
          <w:rFonts w:hint="eastAsia" w:asciiTheme="minorEastAsia" w:hAnsiTheme="minorEastAsia" w:eastAsiaTheme="minorEastAsia"/>
          <w:sz w:val="32"/>
          <w:szCs w:val="32"/>
          <w:lang w:eastAsia="zh-CN"/>
        </w:rPr>
        <w:t>。</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公务用车购置费支出预算为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p>
    <w:p>
      <w:pPr>
        <w:pStyle w:val="9"/>
        <w:keepNext w:val="0"/>
        <w:keepLines w:val="0"/>
        <w:pageBreakBefore w:val="0"/>
        <w:widowControl w:val="0"/>
        <w:kinsoku/>
        <w:wordWrap/>
        <w:overflowPunct/>
        <w:topLinePunct w:val="0"/>
        <w:autoSpaceDE w:val="0"/>
        <w:autoSpaceDN w:val="0"/>
        <w:bidi w:val="0"/>
        <w:adjustRightInd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公务用车运行维护费支出预算为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万元，完成预算的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w:t>
      </w:r>
    </w:p>
    <w:p>
      <w:pPr>
        <w:pStyle w:val="9"/>
        <w:rPr>
          <w:rFonts w:asciiTheme="minorEastAsia" w:hAnsiTheme="minorEastAsia" w:eastAsiaTheme="minorEastAsia"/>
          <w:b/>
          <w:sz w:val="32"/>
          <w:szCs w:val="32"/>
        </w:rPr>
      </w:pPr>
      <w:r>
        <w:rPr>
          <w:rFonts w:hint="eastAsia" w:asciiTheme="minorEastAsia" w:hAnsiTheme="minorEastAsia" w:eastAsiaTheme="minorEastAsia"/>
          <w:b/>
          <w:sz w:val="32"/>
          <w:szCs w:val="32"/>
        </w:rPr>
        <w:t>（二）“三公”经费财政拨款支出决算具体情况说明</w:t>
      </w:r>
    </w:p>
    <w:p>
      <w:pPr>
        <w:pStyle w:val="9"/>
        <w:keepNext w:val="0"/>
        <w:keepLines w:val="0"/>
        <w:pageBreakBefore w:val="0"/>
        <w:widowControl w:val="0"/>
        <w:kinsoku/>
        <w:wordWrap/>
        <w:overflowPunct/>
        <w:topLinePunct w:val="0"/>
        <w:bidi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2021年度“三公”经费财政拨款支出决算中，公务接待费支出决算</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%,因公出国（境）费支出决算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%,公务用车购置费及运行维护费支出决算</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%。其中：</w:t>
      </w:r>
    </w:p>
    <w:p>
      <w:pPr>
        <w:pStyle w:val="9"/>
        <w:keepNext w:val="0"/>
        <w:keepLines w:val="0"/>
        <w:pageBreakBefore w:val="0"/>
        <w:widowControl w:val="0"/>
        <w:kinsoku/>
        <w:wordWrap/>
        <w:overflowPunct/>
        <w:topLinePunct w:val="0"/>
        <w:bidi w:val="0"/>
        <w:snapToGrid/>
        <w:ind w:firstLine="640" w:firstLineChars="200"/>
        <w:jc w:val="both"/>
        <w:textAlignment w:val="auto"/>
        <w:rPr>
          <w:rFonts w:hint="eastAsia" w:asciiTheme="minorEastAsia" w:hAnsiTheme="minorEastAsia" w:eastAsiaTheme="minorEastAsia"/>
          <w:sz w:val="32"/>
          <w:szCs w:val="32"/>
          <w:lang w:eastAsia="zh-CN"/>
        </w:rPr>
      </w:pPr>
      <w:r>
        <w:rPr>
          <w:rFonts w:hint="eastAsia" w:asciiTheme="minorEastAsia" w:hAnsiTheme="minorEastAsia" w:eastAsiaTheme="minorEastAsia"/>
          <w:sz w:val="32"/>
          <w:szCs w:val="32"/>
        </w:rPr>
        <w:t>1、因公出国（境）费支出决算为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eastAsia="zh-CN"/>
        </w:rPr>
        <w:t>。</w:t>
      </w:r>
    </w:p>
    <w:p>
      <w:pPr>
        <w:pStyle w:val="9"/>
        <w:keepNext w:val="0"/>
        <w:keepLines w:val="0"/>
        <w:pageBreakBefore w:val="0"/>
        <w:widowControl w:val="0"/>
        <w:kinsoku/>
        <w:wordWrap/>
        <w:overflowPunct/>
        <w:topLinePunct w:val="0"/>
        <w:bidi w:val="0"/>
        <w:snapToGrid/>
        <w:ind w:firstLine="640" w:firstLineChars="200"/>
        <w:jc w:val="both"/>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rPr>
        <w:t>2、公务接待费支出决算为</w:t>
      </w:r>
      <w:r>
        <w:rPr>
          <w:rFonts w:hint="eastAsia" w:asciiTheme="minorEastAsia" w:hAnsiTheme="minorEastAsia" w:eastAsiaTheme="minorEastAsia"/>
          <w:sz w:val="32"/>
          <w:szCs w:val="32"/>
          <w:lang w:val="en-US" w:eastAsia="zh-CN"/>
        </w:rPr>
        <w:t>0.5</w:t>
      </w:r>
      <w:r>
        <w:rPr>
          <w:rFonts w:hint="eastAsia" w:asciiTheme="minorEastAsia" w:hAnsiTheme="minorEastAsia" w:eastAsiaTheme="minorEastAsia"/>
          <w:sz w:val="32"/>
          <w:szCs w:val="32"/>
        </w:rPr>
        <w:t>万元，全年共接待来访团组</w:t>
      </w:r>
      <w:r>
        <w:rPr>
          <w:rFonts w:hint="eastAsia" w:asciiTheme="minorEastAsia" w:hAnsiTheme="minorEastAsia" w:eastAsiaTheme="minorEastAsia"/>
          <w:sz w:val="32"/>
          <w:szCs w:val="32"/>
          <w:lang w:val="en-US" w:eastAsia="zh-CN"/>
        </w:rPr>
        <w:t>5</w:t>
      </w:r>
      <w:r>
        <w:rPr>
          <w:rFonts w:hint="eastAsia" w:asciiTheme="minorEastAsia" w:hAnsiTheme="minorEastAsia" w:eastAsiaTheme="minorEastAsia"/>
          <w:sz w:val="32"/>
          <w:szCs w:val="32"/>
        </w:rPr>
        <w:t>个、来宾</w:t>
      </w:r>
      <w:r>
        <w:rPr>
          <w:rFonts w:hint="eastAsia" w:asciiTheme="minorEastAsia" w:hAnsiTheme="minorEastAsia" w:eastAsiaTheme="minorEastAsia"/>
          <w:sz w:val="32"/>
          <w:szCs w:val="32"/>
          <w:lang w:val="en-US" w:eastAsia="zh-CN"/>
        </w:rPr>
        <w:t>46</w:t>
      </w:r>
      <w:r>
        <w:rPr>
          <w:rFonts w:hint="eastAsia" w:asciiTheme="minorEastAsia" w:hAnsiTheme="minorEastAsia" w:eastAsiaTheme="minorEastAsia"/>
          <w:sz w:val="32"/>
          <w:szCs w:val="32"/>
        </w:rPr>
        <w:t>人次，主要是</w:t>
      </w:r>
      <w:r>
        <w:rPr>
          <w:rFonts w:hint="eastAsia" w:asciiTheme="minorEastAsia" w:hAnsiTheme="minorEastAsia" w:eastAsiaTheme="minorEastAsia"/>
          <w:sz w:val="32"/>
          <w:szCs w:val="32"/>
          <w:lang w:val="en-US" w:eastAsia="zh-CN"/>
        </w:rPr>
        <w:t>接待食用菌产业发展咨询、审计活动</w:t>
      </w:r>
      <w:r>
        <w:rPr>
          <w:rFonts w:hint="eastAsia" w:asciiTheme="minorEastAsia" w:hAnsiTheme="minorEastAsia" w:eastAsiaTheme="minorEastAsia"/>
          <w:sz w:val="32"/>
          <w:szCs w:val="32"/>
        </w:rPr>
        <w:t>发生的接待支出。</w:t>
      </w:r>
    </w:p>
    <w:p>
      <w:pPr>
        <w:keepNext w:val="0"/>
        <w:keepLines w:val="0"/>
        <w:pageBreakBefore w:val="0"/>
        <w:widowControl w:val="0"/>
        <w:kinsoku/>
        <w:wordWrap/>
        <w:overflowPunct/>
        <w:topLinePunct w:val="0"/>
        <w:bidi w:val="0"/>
        <w:snapToGrid/>
        <w:ind w:firstLine="640" w:firstLineChars="200"/>
        <w:jc w:val="both"/>
        <w:textAlignment w:val="auto"/>
        <w:rPr>
          <w:rFonts w:hint="eastAsia" w:cs="黑体" w:asciiTheme="minorEastAsia" w:hAnsiTheme="minorEastAsia" w:eastAsiaTheme="minorEastAsia"/>
          <w:color w:val="000000"/>
          <w:kern w:val="0"/>
          <w:sz w:val="32"/>
          <w:szCs w:val="32"/>
          <w:lang w:val="en-US" w:eastAsia="zh-CN"/>
        </w:rPr>
      </w:pPr>
      <w:r>
        <w:rPr>
          <w:rFonts w:hint="eastAsia" w:asciiTheme="minorEastAsia" w:hAnsiTheme="minorEastAsia"/>
          <w:sz w:val="32"/>
          <w:szCs w:val="32"/>
        </w:rPr>
        <w:t>3、公务用车购置费及运行维护费支出决算为</w:t>
      </w:r>
      <w:r>
        <w:rPr>
          <w:rFonts w:hint="eastAsia" w:asciiTheme="minorEastAsia" w:hAnsiTheme="minorEastAsia"/>
          <w:sz w:val="32"/>
          <w:szCs w:val="32"/>
          <w:lang w:val="en-US" w:eastAsia="zh-CN"/>
        </w:rPr>
        <w:t>0</w:t>
      </w:r>
      <w:r>
        <w:rPr>
          <w:rFonts w:hint="eastAsia" w:asciiTheme="minorEastAsia" w:hAnsiTheme="minorEastAsia"/>
          <w:sz w:val="32"/>
          <w:szCs w:val="32"/>
        </w:rPr>
        <w:t>万元</w:t>
      </w:r>
      <w:r>
        <w:rPr>
          <w:rFonts w:hint="eastAsia" w:asciiTheme="minorEastAsia" w:hAnsiTheme="minorEastAsia"/>
          <w:sz w:val="32"/>
          <w:szCs w:val="32"/>
          <w:lang w:eastAsia="zh-CN"/>
        </w:rPr>
        <w:t>。</w:t>
      </w:r>
    </w:p>
    <w:p>
      <w:pPr>
        <w:pStyle w:val="9"/>
        <w:rPr>
          <w:rFonts w:hAnsi="黑体"/>
          <w:b/>
          <w:sz w:val="32"/>
          <w:szCs w:val="32"/>
        </w:rPr>
      </w:pPr>
      <w:r>
        <w:rPr>
          <w:rFonts w:hint="eastAsia" w:hAnsi="黑体"/>
          <w:b/>
          <w:sz w:val="32"/>
          <w:szCs w:val="32"/>
        </w:rPr>
        <w:t>八、政府性基金预算收入支出决算情况</w:t>
      </w:r>
    </w:p>
    <w:p>
      <w:pPr>
        <w:pStyle w:val="9"/>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asciiTheme="minorEastAsia" w:hAnsiTheme="minorEastAsia" w:eastAsiaTheme="minorEastAsia"/>
          <w:sz w:val="32"/>
          <w:szCs w:val="32"/>
        </w:rPr>
      </w:pPr>
      <w:r>
        <w:rPr>
          <w:rFonts w:hint="eastAsia" w:asciiTheme="minorEastAsia" w:hAnsiTheme="minorEastAsia" w:eastAsiaTheme="minorEastAsia"/>
          <w:sz w:val="32"/>
          <w:szCs w:val="32"/>
          <w:lang w:val="en-US" w:eastAsia="zh-CN"/>
        </w:rPr>
        <w:t>本单位无政府性基金。</w:t>
      </w:r>
    </w:p>
    <w:p>
      <w:pPr>
        <w:pStyle w:val="9"/>
        <w:rPr>
          <w:rFonts w:hAnsi="黑体"/>
          <w:b/>
          <w:sz w:val="32"/>
          <w:szCs w:val="32"/>
        </w:rPr>
      </w:pPr>
      <w:r>
        <w:rPr>
          <w:rFonts w:hint="eastAsia" w:hAnsi="黑体"/>
          <w:b/>
          <w:sz w:val="32"/>
          <w:szCs w:val="32"/>
        </w:rPr>
        <w:t>九、机关运行经费支出说明</w:t>
      </w:r>
    </w:p>
    <w:p>
      <w:pPr>
        <w:pStyle w:val="9"/>
        <w:keepNext w:val="0"/>
        <w:keepLines w:val="0"/>
        <w:pageBreakBefore w:val="0"/>
        <w:widowControl w:val="0"/>
        <w:numPr>
          <w:ilvl w:val="0"/>
          <w:numId w:val="0"/>
        </w:numPr>
        <w:kinsoku/>
        <w:wordWrap/>
        <w:overflowPunct/>
        <w:topLinePunct w:val="0"/>
        <w:autoSpaceDE w:val="0"/>
        <w:autoSpaceDN w:val="0"/>
        <w:bidi w:val="0"/>
        <w:adjustRightInd w:val="0"/>
        <w:snapToGrid/>
        <w:ind w:firstLine="640" w:firstLineChars="200"/>
        <w:textAlignment w:val="auto"/>
        <w:rPr>
          <w:rFonts w:hint="default"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本</w:t>
      </w:r>
      <w:r>
        <w:rPr>
          <w:rFonts w:hint="eastAsia" w:asciiTheme="minorEastAsia" w:hAnsiTheme="minorEastAsia" w:eastAsiaTheme="minorEastAsia"/>
          <w:sz w:val="32"/>
          <w:szCs w:val="32"/>
          <w:lang w:val="en-US" w:eastAsia="zh-CN"/>
        </w:rPr>
        <w:t>单位为非参公事业单位，无机关运行经费。</w:t>
      </w:r>
    </w:p>
    <w:p>
      <w:pPr>
        <w:pStyle w:val="9"/>
        <w:rPr>
          <w:rFonts w:hAnsi="黑体"/>
          <w:b/>
          <w:sz w:val="32"/>
          <w:szCs w:val="32"/>
        </w:rPr>
      </w:pPr>
      <w:r>
        <w:rPr>
          <w:rFonts w:hint="eastAsia" w:hAnsi="黑体"/>
          <w:b/>
          <w:sz w:val="32"/>
          <w:szCs w:val="32"/>
        </w:rPr>
        <w:t>十、一般性支出情况说明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2021年本部门开支会议费</w:t>
      </w:r>
      <w:r>
        <w:rPr>
          <w:rFonts w:hint="eastAsia" w:asciiTheme="minorEastAsia" w:hAnsiTheme="minorEastAsia" w:eastAsiaTheme="minorEastAsia"/>
          <w:sz w:val="32"/>
          <w:szCs w:val="32"/>
          <w:lang w:val="en-US" w:eastAsia="zh-CN"/>
        </w:rPr>
        <w:t>0.27</w:t>
      </w:r>
      <w:r>
        <w:rPr>
          <w:rFonts w:hint="eastAsia" w:asciiTheme="minorEastAsia" w:hAnsiTheme="minorEastAsia" w:eastAsiaTheme="minorEastAsia"/>
          <w:sz w:val="32"/>
          <w:szCs w:val="32"/>
        </w:rPr>
        <w:t>万元，</w:t>
      </w:r>
      <w:r>
        <w:rPr>
          <w:rFonts w:hint="eastAsia" w:asciiTheme="minorEastAsia" w:hAnsiTheme="minorEastAsia" w:eastAsiaTheme="minorEastAsia"/>
          <w:sz w:val="32"/>
          <w:szCs w:val="32"/>
          <w:lang w:val="en-US" w:eastAsia="zh-CN"/>
        </w:rPr>
        <w:t>其中0.19万元</w:t>
      </w:r>
      <w:r>
        <w:rPr>
          <w:rFonts w:hint="eastAsia" w:asciiTheme="minorEastAsia" w:hAnsiTheme="minorEastAsia" w:eastAsiaTheme="minorEastAsia"/>
          <w:sz w:val="32"/>
          <w:szCs w:val="32"/>
        </w:rPr>
        <w:t>用于召开</w:t>
      </w:r>
      <w:r>
        <w:rPr>
          <w:rFonts w:hint="eastAsia" w:asciiTheme="minorEastAsia" w:hAnsiTheme="minorEastAsia" w:eastAsiaTheme="minorEastAsia"/>
          <w:sz w:val="32"/>
          <w:szCs w:val="32"/>
          <w:lang w:val="en-US" w:eastAsia="zh-CN"/>
        </w:rPr>
        <w:t>项目评审会议</w:t>
      </w:r>
      <w:r>
        <w:rPr>
          <w:rFonts w:hint="eastAsia" w:asciiTheme="minorEastAsia" w:hAnsiTheme="minorEastAsia" w:eastAsiaTheme="minorEastAsia"/>
          <w:sz w:val="32"/>
          <w:szCs w:val="32"/>
        </w:rPr>
        <w:t>，人数</w:t>
      </w:r>
      <w:r>
        <w:rPr>
          <w:rFonts w:hint="eastAsia" w:asciiTheme="minorEastAsia" w:hAnsiTheme="minorEastAsia" w:eastAsiaTheme="minorEastAsia"/>
          <w:sz w:val="32"/>
          <w:szCs w:val="32"/>
          <w:lang w:val="en-US" w:eastAsia="zh-CN"/>
        </w:rPr>
        <w:t>24</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对4项地方标准进行审定，0.08万元为外出参加会议的会议费</w:t>
      </w:r>
      <w:r>
        <w:rPr>
          <w:rFonts w:hint="eastAsia" w:asciiTheme="minorEastAsia" w:hAnsiTheme="minorEastAsia" w:eastAsiaTheme="minorEastAsia"/>
          <w:sz w:val="32"/>
          <w:szCs w:val="32"/>
        </w:rPr>
        <w:t>；开支培训费</w:t>
      </w:r>
      <w:r>
        <w:rPr>
          <w:rFonts w:hint="eastAsia" w:asciiTheme="minorEastAsia" w:hAnsiTheme="minorEastAsia" w:eastAsiaTheme="minorEastAsia"/>
          <w:sz w:val="32"/>
          <w:szCs w:val="32"/>
          <w:lang w:val="en-US" w:eastAsia="zh-CN"/>
        </w:rPr>
        <w:t>0.75</w:t>
      </w:r>
      <w:r>
        <w:rPr>
          <w:rFonts w:hint="eastAsia" w:asciiTheme="minorEastAsia" w:hAnsiTheme="minorEastAsia" w:eastAsiaTheme="minorEastAsia"/>
          <w:sz w:val="32"/>
          <w:szCs w:val="32"/>
        </w:rPr>
        <w:t>万元，用于开展</w:t>
      </w:r>
      <w:r>
        <w:rPr>
          <w:rFonts w:hint="eastAsia" w:asciiTheme="minorEastAsia" w:hAnsiTheme="minorEastAsia" w:eastAsiaTheme="minorEastAsia"/>
          <w:sz w:val="32"/>
          <w:szCs w:val="32"/>
          <w:lang w:val="en-US" w:eastAsia="zh-CN"/>
        </w:rPr>
        <w:t>专业人员技术教育</w:t>
      </w:r>
      <w:r>
        <w:rPr>
          <w:rFonts w:hint="eastAsia" w:asciiTheme="minorEastAsia" w:hAnsiTheme="minorEastAsia" w:eastAsiaTheme="minorEastAsia"/>
          <w:sz w:val="32"/>
          <w:szCs w:val="32"/>
        </w:rPr>
        <w:t>培训</w:t>
      </w:r>
      <w:r>
        <w:rPr>
          <w:rFonts w:hint="eastAsia" w:asciiTheme="minorEastAsia" w:hAnsiTheme="minorEastAsia" w:eastAsiaTheme="minorEastAsia"/>
          <w:sz w:val="32"/>
          <w:szCs w:val="32"/>
          <w:lang w:eastAsia="zh-CN"/>
        </w:rPr>
        <w:t>，</w:t>
      </w:r>
      <w:r>
        <w:rPr>
          <w:rFonts w:hint="eastAsia" w:asciiTheme="minorEastAsia" w:hAnsiTheme="minorEastAsia" w:eastAsiaTheme="minorEastAsia"/>
          <w:sz w:val="32"/>
          <w:szCs w:val="32"/>
          <w:lang w:val="en-US" w:eastAsia="zh-CN"/>
        </w:rPr>
        <w:t>培训</w:t>
      </w:r>
      <w:r>
        <w:rPr>
          <w:rFonts w:hint="eastAsia" w:asciiTheme="minorEastAsia" w:hAnsiTheme="minorEastAsia" w:eastAsiaTheme="minorEastAsia"/>
          <w:sz w:val="32"/>
          <w:szCs w:val="32"/>
        </w:rPr>
        <w:t>人数</w:t>
      </w:r>
      <w:r>
        <w:rPr>
          <w:rFonts w:hint="eastAsia" w:asciiTheme="minorEastAsia" w:hAnsiTheme="minorEastAsia" w:eastAsiaTheme="minorEastAsia"/>
          <w:sz w:val="32"/>
          <w:szCs w:val="32"/>
          <w:lang w:val="en-US" w:eastAsia="zh-CN"/>
        </w:rPr>
        <w:t>29</w:t>
      </w:r>
      <w:r>
        <w:rPr>
          <w:rFonts w:hint="eastAsia" w:asciiTheme="minorEastAsia" w:hAnsiTheme="minorEastAsia" w:eastAsiaTheme="minorEastAsia"/>
          <w:sz w:val="32"/>
          <w:szCs w:val="32"/>
        </w:rPr>
        <w:t>人，内容为</w:t>
      </w:r>
      <w:r>
        <w:rPr>
          <w:rFonts w:hint="eastAsia" w:asciiTheme="minorEastAsia" w:hAnsiTheme="minorEastAsia" w:eastAsiaTheme="minorEastAsia"/>
          <w:sz w:val="32"/>
          <w:szCs w:val="32"/>
          <w:lang w:val="en-US" w:eastAsia="zh-CN"/>
        </w:rPr>
        <w:t>单位员工专业及公需科目网络培训</w:t>
      </w:r>
      <w:r>
        <w:rPr>
          <w:rFonts w:hint="eastAsia" w:asciiTheme="minorEastAsia" w:hAnsiTheme="minorEastAsia" w:eastAsiaTheme="minorEastAsia"/>
          <w:sz w:val="32"/>
          <w:szCs w:val="32"/>
        </w:rPr>
        <w:t>；</w:t>
      </w:r>
      <w:r>
        <w:rPr>
          <w:rFonts w:hint="eastAsia" w:asciiTheme="minorEastAsia" w:hAnsiTheme="minorEastAsia" w:eastAsiaTheme="minorEastAsia"/>
          <w:sz w:val="32"/>
          <w:szCs w:val="32"/>
          <w:lang w:val="en-US" w:eastAsia="zh-CN"/>
        </w:rPr>
        <w:t>没有</w:t>
      </w:r>
      <w:r>
        <w:rPr>
          <w:rFonts w:hint="eastAsia" w:asciiTheme="minorEastAsia" w:hAnsiTheme="minorEastAsia" w:eastAsiaTheme="minorEastAsia"/>
          <w:sz w:val="32"/>
          <w:szCs w:val="32"/>
        </w:rPr>
        <w:t>举办节庆、晚会、论坛、赛事</w:t>
      </w:r>
      <w:r>
        <w:rPr>
          <w:rFonts w:hint="eastAsia" w:asciiTheme="minorEastAsia" w:hAnsiTheme="minorEastAsia" w:eastAsiaTheme="minorEastAsia"/>
          <w:sz w:val="32"/>
          <w:szCs w:val="32"/>
          <w:lang w:val="en-US" w:eastAsia="zh-CN"/>
        </w:rPr>
        <w:t>等</w:t>
      </w:r>
      <w:r>
        <w:rPr>
          <w:rFonts w:hint="eastAsia" w:asciiTheme="minorEastAsia" w:hAnsiTheme="minorEastAsia" w:eastAsiaTheme="minorEastAsia"/>
          <w:sz w:val="32"/>
          <w:szCs w:val="32"/>
        </w:rPr>
        <w:t>活动。</w:t>
      </w:r>
    </w:p>
    <w:p>
      <w:pPr>
        <w:pStyle w:val="9"/>
        <w:rPr>
          <w:rFonts w:hAnsi="黑体"/>
          <w:b/>
          <w:sz w:val="32"/>
          <w:szCs w:val="32"/>
        </w:rPr>
      </w:pPr>
      <w:r>
        <w:rPr>
          <w:rFonts w:hint="eastAsia" w:hAnsi="黑体"/>
          <w:b/>
          <w:sz w:val="32"/>
          <w:szCs w:val="32"/>
        </w:rPr>
        <w:t>十一、政府采购支出说明</w:t>
      </w:r>
    </w:p>
    <w:p>
      <w:pPr>
        <w:pStyle w:val="9"/>
        <w:ind w:firstLine="640" w:firstLineChars="200"/>
        <w:rPr>
          <w:rFonts w:asciiTheme="minorEastAsia" w:hAnsiTheme="minorEastAsia" w:eastAsiaTheme="minorEastAsia"/>
          <w:sz w:val="32"/>
          <w:szCs w:val="32"/>
        </w:rPr>
      </w:pPr>
      <w:r>
        <w:rPr>
          <w:rFonts w:hint="eastAsia" w:asciiTheme="minorEastAsia" w:hAnsiTheme="minorEastAsia" w:eastAsiaTheme="minorEastAsia"/>
          <w:sz w:val="32"/>
          <w:szCs w:val="32"/>
        </w:rPr>
        <w:t>本部门2021年度政府采购支出总额</w:t>
      </w:r>
      <w:r>
        <w:rPr>
          <w:rFonts w:hint="eastAsia" w:asciiTheme="minorEastAsia" w:hAnsiTheme="minorEastAsia" w:eastAsiaTheme="minorEastAsia"/>
          <w:sz w:val="32"/>
          <w:szCs w:val="32"/>
          <w:lang w:val="en-US" w:eastAsia="zh-CN"/>
        </w:rPr>
        <w:t>16.52</w:t>
      </w:r>
      <w:r>
        <w:rPr>
          <w:rFonts w:hint="eastAsia" w:asciiTheme="minorEastAsia" w:hAnsiTheme="minorEastAsia" w:eastAsiaTheme="minorEastAsia"/>
          <w:sz w:val="32"/>
          <w:szCs w:val="32"/>
        </w:rPr>
        <w:t>万元，其中：政府采购货物支出</w:t>
      </w:r>
      <w:r>
        <w:rPr>
          <w:rFonts w:hint="eastAsia" w:asciiTheme="minorEastAsia" w:hAnsiTheme="minorEastAsia" w:eastAsiaTheme="minorEastAsia"/>
          <w:sz w:val="32"/>
          <w:szCs w:val="32"/>
          <w:lang w:val="en-US" w:eastAsia="zh-CN"/>
        </w:rPr>
        <w:t>16.52</w:t>
      </w:r>
      <w:r>
        <w:rPr>
          <w:rFonts w:hint="eastAsia" w:asciiTheme="minorEastAsia" w:hAnsiTheme="minorEastAsia" w:eastAsiaTheme="minorEastAsia"/>
          <w:sz w:val="32"/>
          <w:szCs w:val="32"/>
        </w:rPr>
        <w:t>万元、政府采购工程支出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万元、政府采购服务支出</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万元。授予中小企业合同金额</w:t>
      </w:r>
      <w:r>
        <w:rPr>
          <w:rFonts w:hint="eastAsia" w:asciiTheme="minorEastAsia" w:hAnsiTheme="minorEastAsia" w:eastAsiaTheme="minorEastAsia"/>
          <w:sz w:val="32"/>
          <w:szCs w:val="32"/>
          <w:lang w:val="en-US" w:eastAsia="zh-CN"/>
        </w:rPr>
        <w:t>16.52</w:t>
      </w:r>
      <w:r>
        <w:rPr>
          <w:rFonts w:hint="eastAsia" w:asciiTheme="minorEastAsia" w:hAnsiTheme="minorEastAsia" w:eastAsiaTheme="minorEastAsia"/>
          <w:sz w:val="32"/>
          <w:szCs w:val="32"/>
        </w:rPr>
        <w:t>万元，占政府采购支出总额的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%，其中：授予小微企业合同金额</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万元，占授予中小企业合同金额的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%；货物采购授予中小企业合同金额占货物支出金额的</w:t>
      </w:r>
      <w:r>
        <w:rPr>
          <w:rFonts w:hint="eastAsia" w:asciiTheme="minorEastAsia" w:hAnsiTheme="minorEastAsia" w:eastAsiaTheme="minorEastAsia"/>
          <w:sz w:val="32"/>
          <w:szCs w:val="32"/>
          <w:lang w:val="en-US" w:eastAsia="zh-CN"/>
        </w:rPr>
        <w:t>100</w:t>
      </w:r>
      <w:r>
        <w:rPr>
          <w:rFonts w:hint="eastAsia" w:asciiTheme="minorEastAsia" w:hAnsiTheme="minorEastAsia" w:eastAsiaTheme="minorEastAsia"/>
          <w:sz w:val="32"/>
          <w:szCs w:val="32"/>
        </w:rPr>
        <w:t>%，工程采购授予中小企业合同金额占工程支出金额的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%，服务采购授予中小企业合同金额占服务支出金额的</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w:t>
      </w:r>
    </w:p>
    <w:p>
      <w:pPr>
        <w:pStyle w:val="9"/>
        <w:rPr>
          <w:rFonts w:hAnsi="黑体"/>
          <w:b/>
          <w:sz w:val="32"/>
          <w:szCs w:val="32"/>
        </w:rPr>
      </w:pPr>
      <w:r>
        <w:rPr>
          <w:rFonts w:hint="eastAsia" w:hAnsi="黑体"/>
          <w:b/>
          <w:sz w:val="32"/>
          <w:szCs w:val="32"/>
        </w:rPr>
        <w:t>十二、国有资产占用情况说明</w:t>
      </w:r>
    </w:p>
    <w:p>
      <w:pPr>
        <w:pStyle w:val="9"/>
        <w:ind w:firstLine="640" w:firstLineChars="200"/>
        <w:rPr>
          <w:rFonts w:hint="eastAsia" w:asciiTheme="minorEastAsia" w:hAnsiTheme="minorEastAsia" w:eastAsiaTheme="minorEastAsia"/>
          <w:sz w:val="32"/>
          <w:szCs w:val="32"/>
        </w:rPr>
      </w:pPr>
      <w:r>
        <w:rPr>
          <w:rFonts w:hint="eastAsia" w:asciiTheme="minorEastAsia" w:hAnsiTheme="minorEastAsia" w:eastAsiaTheme="minorEastAsia"/>
          <w:sz w:val="32"/>
          <w:szCs w:val="32"/>
        </w:rPr>
        <w:t>截至202</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年12月31日，本单位共有车辆</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辆，</w:t>
      </w:r>
      <w:r>
        <w:rPr>
          <w:rFonts w:hint="eastAsia" w:asciiTheme="minorEastAsia" w:hAnsiTheme="minorEastAsia" w:eastAsiaTheme="minorEastAsia"/>
          <w:sz w:val="32"/>
          <w:szCs w:val="32"/>
          <w:lang w:val="en-US" w:eastAsia="zh-CN"/>
        </w:rPr>
        <w:t>车辆已报废，回收的款项已上缴非税，待完成资产报废审批程序后进行账务处理</w:t>
      </w:r>
      <w:r>
        <w:rPr>
          <w:rFonts w:hint="eastAsia" w:asciiTheme="minorEastAsia" w:hAnsiTheme="minorEastAsia" w:eastAsiaTheme="minorEastAsia"/>
          <w:sz w:val="32"/>
          <w:szCs w:val="32"/>
        </w:rPr>
        <w:t>；单位价值50万元以上通用设备</w:t>
      </w:r>
      <w:r>
        <w:rPr>
          <w:rFonts w:hint="eastAsia" w:asciiTheme="minorEastAsia" w:hAnsiTheme="minorEastAsia" w:eastAsiaTheme="minorEastAsia"/>
          <w:sz w:val="32"/>
          <w:szCs w:val="32"/>
          <w:lang w:val="en-US" w:eastAsia="zh-CN"/>
        </w:rPr>
        <w:t>1</w:t>
      </w:r>
      <w:r>
        <w:rPr>
          <w:rFonts w:hint="eastAsia" w:asciiTheme="minorEastAsia" w:hAnsiTheme="minorEastAsia" w:eastAsiaTheme="minorEastAsia"/>
          <w:sz w:val="32"/>
          <w:szCs w:val="32"/>
        </w:rPr>
        <w:t>台（套）；单位价值100万元以上专用设备</w:t>
      </w:r>
      <w:r>
        <w:rPr>
          <w:rFonts w:hint="eastAsia" w:asciiTheme="minorEastAsia" w:hAnsiTheme="minorEastAsia" w:eastAsiaTheme="minorEastAsia"/>
          <w:sz w:val="32"/>
          <w:szCs w:val="32"/>
          <w:lang w:val="en-US" w:eastAsia="zh-CN"/>
        </w:rPr>
        <w:t>0</w:t>
      </w:r>
      <w:r>
        <w:rPr>
          <w:rFonts w:hint="eastAsia" w:asciiTheme="minorEastAsia" w:hAnsiTheme="minorEastAsia" w:eastAsiaTheme="minorEastAsia"/>
          <w:sz w:val="32"/>
          <w:szCs w:val="32"/>
        </w:rPr>
        <w:t>台（套）。</w:t>
      </w:r>
    </w:p>
    <w:p>
      <w:pPr>
        <w:pStyle w:val="9"/>
        <w:rPr>
          <w:rFonts w:hint="eastAsia" w:hAnsi="黑体"/>
          <w:b/>
          <w:sz w:val="32"/>
          <w:szCs w:val="32"/>
        </w:rPr>
      </w:pPr>
      <w:r>
        <w:rPr>
          <w:rFonts w:hint="eastAsia" w:hAnsi="黑体"/>
          <w:b/>
          <w:sz w:val="32"/>
          <w:szCs w:val="32"/>
        </w:rPr>
        <w:t>十三、2021年度预算绩效情况说明</w:t>
      </w:r>
    </w:p>
    <w:p>
      <w:pPr>
        <w:pStyle w:val="9"/>
        <w:ind w:firstLine="640" w:firstLineChars="200"/>
        <w:rPr>
          <w:rFonts w:hint="eastAsia" w:asciiTheme="minorEastAsia" w:hAnsiTheme="minorEastAsia" w:eastAsiaTheme="minorEastAsia"/>
          <w:sz w:val="32"/>
          <w:szCs w:val="32"/>
          <w:lang w:val="en-US" w:eastAsia="zh-CN"/>
        </w:rPr>
      </w:pPr>
      <w:r>
        <w:rPr>
          <w:rFonts w:hint="eastAsia" w:asciiTheme="minorEastAsia" w:hAnsiTheme="minorEastAsia" w:eastAsiaTheme="minorEastAsia"/>
          <w:sz w:val="32"/>
          <w:szCs w:val="32"/>
        </w:rPr>
        <w:t>按照中央、省的部署，积极推进预算绩效管理改革，以目标管理、第三方评价、信息公开等为着力点，认真贯彻落实省委、省政府的决策部署，高度重视绩效管理工作，将绩效管理融入预算编制、执行过程。积极推动预算绩效管理由专项资金拓展至部门整体支出，探索构建部门整体绩效管理机制，</w:t>
      </w:r>
      <w:r>
        <w:rPr>
          <w:rFonts w:hint="eastAsia" w:asciiTheme="minorEastAsia" w:hAnsiTheme="minorEastAsia" w:eastAsiaTheme="minorEastAsia"/>
          <w:sz w:val="32"/>
          <w:szCs w:val="32"/>
          <w:lang w:val="en-US" w:eastAsia="zh-CN"/>
        </w:rPr>
        <w:t>2021</w:t>
      </w:r>
      <w:r>
        <w:rPr>
          <w:rFonts w:hint="eastAsia" w:asciiTheme="minorEastAsia" w:hAnsiTheme="minorEastAsia" w:eastAsiaTheme="minorEastAsia"/>
          <w:sz w:val="32"/>
          <w:szCs w:val="32"/>
        </w:rPr>
        <w:t>年度部门整体支出绩效自评</w:t>
      </w:r>
      <w:r>
        <w:rPr>
          <w:rFonts w:hint="eastAsia" w:asciiTheme="minorEastAsia" w:hAnsiTheme="minorEastAsia" w:eastAsiaTheme="minorEastAsia"/>
          <w:sz w:val="32"/>
          <w:szCs w:val="32"/>
          <w:lang w:val="en-US" w:eastAsia="zh-CN"/>
        </w:rPr>
        <w:t>为91.5分</w:t>
      </w:r>
      <w:r>
        <w:rPr>
          <w:rFonts w:hint="eastAsia" w:asciiTheme="minorEastAsia" w:hAnsiTheme="minorEastAsia" w:eastAsiaTheme="minorEastAsia"/>
          <w:sz w:val="32"/>
          <w:szCs w:val="32"/>
        </w:rPr>
        <w:t>。</w:t>
      </w:r>
    </w:p>
    <w:p>
      <w:pPr>
        <w:pStyle w:val="9"/>
        <w:ind w:firstLine="640" w:firstLineChars="200"/>
        <w:rPr>
          <w:rFonts w:hint="eastAsia" w:asciiTheme="minorEastAsia" w:hAnsiTheme="minorEastAsia" w:eastAsiaTheme="minorEastAsia"/>
          <w:sz w:val="32"/>
          <w:szCs w:val="32"/>
        </w:rPr>
      </w:pPr>
    </w:p>
    <w:p>
      <w:pPr>
        <w:pStyle w:val="9"/>
        <w:ind w:firstLine="640" w:firstLineChars="200"/>
        <w:jc w:val="both"/>
        <w:rPr>
          <w:rFonts w:hint="eastAsia" w:ascii="仿宋_GB2312" w:eastAsia="仿宋_GB2312" w:hAnsiTheme="minorEastAsia"/>
          <w:sz w:val="32"/>
          <w:szCs w:val="32"/>
        </w:rPr>
      </w:pPr>
    </w:p>
    <w:p>
      <w:pPr>
        <w:pStyle w:val="9"/>
        <w:ind w:firstLine="640" w:firstLineChars="200"/>
        <w:rPr>
          <w:rFonts w:hint="eastAsia" w:asciiTheme="minorEastAsia" w:hAnsiTheme="minorEastAsia" w:eastAsiaTheme="minorEastAsia"/>
          <w:sz w:val="32"/>
          <w:szCs w:val="32"/>
          <w:lang w:val="en-US" w:eastAsia="zh-CN"/>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both"/>
        <w:rPr>
          <w:sz w:val="72"/>
          <w:szCs w:val="72"/>
        </w:rPr>
      </w:pPr>
    </w:p>
    <w:p>
      <w:pPr>
        <w:pStyle w:val="9"/>
        <w:jc w:val="center"/>
        <w:rPr>
          <w:sz w:val="72"/>
          <w:szCs w:val="72"/>
        </w:rPr>
      </w:pPr>
      <w:r>
        <w:rPr>
          <w:rFonts w:hint="eastAsia"/>
          <w:sz w:val="72"/>
          <w:szCs w:val="72"/>
        </w:rPr>
        <w:t>第四部分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名词解释</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ind w:firstLine="640" w:firstLineChars="200"/>
        <w:jc w:val="left"/>
        <w:rPr>
          <w:rFonts w:cs="黑体" w:asciiTheme="minorEastAsia" w:hAnsiTheme="minorEastAsia"/>
          <w:color w:val="000000"/>
          <w:kern w:val="0"/>
          <w:sz w:val="32"/>
          <w:szCs w:val="32"/>
        </w:rPr>
      </w:pP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rPr>
        <w:t>一、基本支出：指单位为保障其机构正常运转、完成日常工作任务而发生的人员支出和公用支出。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二</w:t>
      </w:r>
      <w:r>
        <w:rPr>
          <w:rFonts w:hint="eastAsia" w:cs="黑体" w:asciiTheme="minorEastAsia" w:hAnsiTheme="minorEastAsia"/>
          <w:color w:val="000000"/>
          <w:kern w:val="0"/>
          <w:sz w:val="32"/>
          <w:szCs w:val="32"/>
        </w:rPr>
        <w:t>、项目支出：指单位为完成特定行政任务和事业发展目标在基本支出之外所发生的支出。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三</w:t>
      </w:r>
      <w:r>
        <w:rPr>
          <w:rFonts w:hint="eastAsia" w:cs="黑体" w:asciiTheme="minorEastAsia" w:hAnsiTheme="minorEastAsia"/>
          <w:color w:val="000000"/>
          <w:kern w:val="0"/>
          <w:sz w:val="32"/>
          <w:szCs w:val="32"/>
        </w:rPr>
        <w:t>、“三公经费”：纳入省财政预算管理的“三公”经费，是指用一般公共预算拨款安排的公务接待费、公务用车购置及运行维护费和因公出国（境）费。其中，公务接待费反映单位按规定开支的各类接待支出；公务用车购置及运行费反映单位公务用车车辆购置支出（含车辆购置税），以及燃料费、维修费、保险费等支出；因公出国（境）费反映单位公务出国（境）的国际旅游费、国外城市间交通费、食宿费等支出。</w:t>
      </w:r>
    </w:p>
    <w:p>
      <w:pPr>
        <w:ind w:firstLine="640" w:firstLineChars="200"/>
        <w:jc w:val="left"/>
        <w:rPr>
          <w:rFonts w:cs="黑体" w:asciiTheme="minorEastAsia" w:hAnsiTheme="minorEastAsia"/>
          <w:color w:val="000000"/>
          <w:kern w:val="0"/>
          <w:sz w:val="32"/>
          <w:szCs w:val="32"/>
        </w:rPr>
      </w:pPr>
      <w:r>
        <w:rPr>
          <w:rFonts w:hint="eastAsia" w:cs="黑体" w:asciiTheme="minorEastAsia" w:hAnsiTheme="minorEastAsia"/>
          <w:color w:val="000000"/>
          <w:kern w:val="0"/>
          <w:sz w:val="32"/>
          <w:szCs w:val="32"/>
          <w:lang w:val="en-US" w:eastAsia="zh-CN"/>
        </w:rPr>
        <w:t>四</w:t>
      </w:r>
      <w:r>
        <w:rPr>
          <w:rFonts w:hint="eastAsia" w:cs="黑体" w:asciiTheme="minorEastAsia" w:hAnsiTheme="minorEastAsia"/>
          <w:color w:val="000000"/>
          <w:kern w:val="0"/>
          <w:sz w:val="32"/>
          <w:szCs w:val="32"/>
        </w:rPr>
        <w:t>、一般公共预算：一般公共预算是对以税收为主体的财政收入，安排用于保障和改善民生、推动经济社会发展、维护国家安全、维持国家机构正常运转等方面的收支预算。</w:t>
      </w:r>
    </w:p>
    <w:p>
      <w:pPr>
        <w:ind w:firstLine="640" w:firstLineChars="200"/>
        <w:jc w:val="left"/>
        <w:rPr>
          <w:sz w:val="72"/>
          <w:szCs w:val="72"/>
        </w:rPr>
      </w:pPr>
      <w:r>
        <w:rPr>
          <w:rFonts w:hint="eastAsia" w:cs="黑体" w:asciiTheme="minorEastAsia" w:hAnsiTheme="minorEastAsia"/>
          <w:color w:val="000000"/>
          <w:kern w:val="0"/>
          <w:sz w:val="32"/>
          <w:szCs w:val="32"/>
          <w:lang w:val="en-US" w:eastAsia="zh-CN"/>
        </w:rPr>
        <w:t>五</w:t>
      </w:r>
      <w:r>
        <w:rPr>
          <w:rFonts w:hint="eastAsia" w:cs="黑体" w:asciiTheme="minorEastAsia" w:hAnsiTheme="minorEastAsia"/>
          <w:color w:val="000000"/>
          <w:kern w:val="0"/>
          <w:sz w:val="32"/>
          <w:szCs w:val="32"/>
        </w:rPr>
        <w:t>、政府性基金预算：政府性基金预算是国家通过向社会征收以及出让土地、发行彩票等方式取得收入，并专项用于支持特定基础设施建设和社会事业发展的财政收支预算，是政府预算体系的重要组成部分。</w:t>
      </w: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p>
    <w:p>
      <w:pPr>
        <w:pStyle w:val="9"/>
        <w:jc w:val="center"/>
        <w:rPr>
          <w:sz w:val="72"/>
          <w:szCs w:val="72"/>
        </w:rPr>
      </w:pPr>
      <w:r>
        <w:rPr>
          <w:rFonts w:hint="eastAsia"/>
          <w:sz w:val="72"/>
          <w:szCs w:val="72"/>
        </w:rPr>
        <w:t>第五部分</w:t>
      </w:r>
    </w:p>
    <w:p>
      <w:pPr>
        <w:jc w:val="center"/>
        <w:rPr>
          <w:rFonts w:ascii="黑体" w:eastAsia="黑体" w:cs="黑体"/>
          <w:color w:val="000000"/>
          <w:kern w:val="0"/>
          <w:sz w:val="70"/>
          <w:szCs w:val="70"/>
        </w:rPr>
      </w:pPr>
    </w:p>
    <w:p>
      <w:pPr>
        <w:jc w:val="center"/>
        <w:rPr>
          <w:rFonts w:ascii="黑体" w:eastAsia="黑体" w:cs="黑体"/>
          <w:color w:val="000000"/>
          <w:kern w:val="0"/>
          <w:sz w:val="70"/>
          <w:szCs w:val="70"/>
        </w:rPr>
      </w:pPr>
      <w:r>
        <w:rPr>
          <w:rFonts w:hint="eastAsia" w:ascii="黑体" w:eastAsia="黑体" w:cs="黑体"/>
          <w:color w:val="000000"/>
          <w:kern w:val="0"/>
          <w:sz w:val="70"/>
          <w:szCs w:val="70"/>
        </w:rPr>
        <w:t>附件</w:t>
      </w:r>
    </w:p>
    <w:p>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pPr>
        <w:jc w:val="center"/>
        <w:rPr>
          <w:rFonts w:ascii="黑体" w:eastAsia="黑体" w:cs="黑体"/>
          <w:color w:val="000000"/>
          <w:kern w:val="0"/>
          <w:sz w:val="70"/>
          <w:szCs w:val="70"/>
        </w:rPr>
      </w:pPr>
    </w:p>
    <w:p>
      <w:pPr>
        <w:ind w:firstLine="720" w:firstLineChars="200"/>
        <w:jc w:val="center"/>
        <w:rPr>
          <w:rFonts w:hint="eastAsia" w:cs="黑体" w:asciiTheme="minorEastAsia" w:hAnsiTheme="minorEastAsia"/>
          <w:b/>
          <w:color w:val="000000"/>
          <w:kern w:val="0"/>
          <w:sz w:val="36"/>
          <w:szCs w:val="36"/>
          <w:lang w:val="en-US" w:eastAsia="zh-CN"/>
        </w:rPr>
      </w:pPr>
      <w:r>
        <w:rPr>
          <w:rFonts w:hint="eastAsia" w:cs="黑体" w:asciiTheme="minorEastAsia" w:hAnsiTheme="minorEastAsia"/>
          <w:b/>
          <w:color w:val="000000"/>
          <w:kern w:val="0"/>
          <w:sz w:val="36"/>
          <w:szCs w:val="36"/>
        </w:rPr>
        <w:t>2021年度</w:t>
      </w:r>
      <w:r>
        <w:rPr>
          <w:rFonts w:hint="eastAsia" w:cs="黑体" w:asciiTheme="minorEastAsia" w:hAnsiTheme="minorEastAsia"/>
          <w:b/>
          <w:color w:val="000000"/>
          <w:kern w:val="0"/>
          <w:sz w:val="36"/>
          <w:szCs w:val="36"/>
          <w:lang w:val="en-US" w:eastAsia="zh-CN"/>
        </w:rPr>
        <w:t>湖南省食用菌研究所</w:t>
      </w:r>
    </w:p>
    <w:p>
      <w:pPr>
        <w:ind w:firstLine="720" w:firstLineChars="200"/>
        <w:jc w:val="center"/>
        <w:rPr>
          <w:rFonts w:hint="eastAsia" w:cs="黑体" w:asciiTheme="minorEastAsia" w:hAnsiTheme="minorEastAsia"/>
          <w:b/>
          <w:color w:val="000000"/>
          <w:kern w:val="0"/>
          <w:sz w:val="36"/>
          <w:szCs w:val="36"/>
        </w:rPr>
      </w:pPr>
      <w:r>
        <w:rPr>
          <w:rFonts w:hint="eastAsia" w:cs="黑体" w:asciiTheme="minorEastAsia" w:hAnsiTheme="minorEastAsia"/>
          <w:b/>
          <w:color w:val="000000"/>
          <w:kern w:val="0"/>
          <w:sz w:val="36"/>
          <w:szCs w:val="36"/>
        </w:rPr>
        <w:t>整体支出绩效</w:t>
      </w:r>
      <w:r>
        <w:rPr>
          <w:rFonts w:hint="eastAsia" w:cs="黑体" w:asciiTheme="minorEastAsia" w:hAnsiTheme="minorEastAsia"/>
          <w:b/>
          <w:color w:val="000000"/>
          <w:kern w:val="0"/>
          <w:sz w:val="36"/>
          <w:szCs w:val="36"/>
          <w:lang w:val="en-US" w:eastAsia="zh-CN"/>
        </w:rPr>
        <w:t>自评</w:t>
      </w:r>
      <w:r>
        <w:rPr>
          <w:rFonts w:hint="eastAsia" w:cs="黑体" w:asciiTheme="minorEastAsia" w:hAnsiTheme="minorEastAsia"/>
          <w:b/>
          <w:color w:val="000000"/>
          <w:kern w:val="0"/>
          <w:sz w:val="36"/>
          <w:szCs w:val="36"/>
        </w:rPr>
        <w:t>报告</w:t>
      </w:r>
    </w:p>
    <w:p>
      <w:pPr>
        <w:ind w:firstLine="640" w:firstLineChars="200"/>
        <w:jc w:val="center"/>
        <w:rPr>
          <w:rFonts w:hint="eastAsia" w:cs="黑体" w:asciiTheme="minorEastAsia" w:hAnsiTheme="minorEastAsia"/>
          <w:b/>
          <w:color w:val="000000"/>
          <w:kern w:val="0"/>
          <w:sz w:val="32"/>
          <w:szCs w:val="32"/>
        </w:rPr>
      </w:pPr>
    </w:p>
    <w:p>
      <w:pPr>
        <w:snapToGrid w:val="0"/>
        <w:spacing w:line="520" w:lineRule="exact"/>
        <w:ind w:firstLine="640" w:firstLineChars="200"/>
        <w:rPr>
          <w:rFonts w:hint="eastAsia" w:ascii="黑体" w:hAnsi="黑体" w:eastAsia="黑体"/>
          <w:b/>
          <w:sz w:val="32"/>
          <w:szCs w:val="32"/>
        </w:rPr>
      </w:pPr>
      <w:r>
        <w:rPr>
          <w:rFonts w:hint="eastAsia" w:ascii="黑体" w:hAnsi="黑体" w:eastAsia="黑体"/>
          <w:b/>
          <w:sz w:val="32"/>
          <w:szCs w:val="32"/>
        </w:rPr>
        <w:t>一、单位情况</w:t>
      </w:r>
    </w:p>
    <w:p>
      <w:pPr>
        <w:snapToGrid w:val="0"/>
        <w:spacing w:line="520" w:lineRule="exact"/>
        <w:ind w:firstLine="640" w:firstLineChars="200"/>
        <w:rPr>
          <w:rFonts w:hint="eastAsia" w:ascii="楷体_GB2312" w:hAnsi="仿宋" w:eastAsia="楷体_GB2312"/>
          <w:b/>
          <w:sz w:val="32"/>
          <w:szCs w:val="32"/>
        </w:rPr>
      </w:pPr>
      <w:r>
        <w:rPr>
          <w:rFonts w:hint="eastAsia" w:ascii="黑体" w:hAnsi="黑体" w:eastAsia="黑体"/>
          <w:b/>
          <w:sz w:val="32"/>
          <w:szCs w:val="32"/>
        </w:rPr>
        <w:t>（一）基本情况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1．主要职能</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湖南省食用菌研究所是我省唯一专门从事食用菌研究与应用的科研机构，成立于1983年。是全国四大省级食用菌专业研究开发机构之一，负责全省食用菌遗传育种、资源开发、高产技术、深度加工研究及食用菌菌种生产、技术服务、技术成果转让、技术培训和技术咨询服务和相关社会服务。</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2．机构情况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本单位人事组织关系隶属湖南省供销合作总社，财务预决算隶属湖南省科学技术厅，是公益一类事业单位。</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3．人员情况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2021年单位编制人数为37人，本年退休3人，新增在编人员1人,新增临聘人员1人，年末实有在编在职人员30人、聘用人员4人、退休人员27人。</w:t>
      </w:r>
    </w:p>
    <w:p>
      <w:pPr>
        <w:snapToGrid w:val="0"/>
        <w:spacing w:line="520" w:lineRule="exact"/>
        <w:ind w:firstLine="640" w:firstLineChars="200"/>
        <w:rPr>
          <w:rFonts w:hint="eastAsia" w:ascii="黑体" w:hAnsi="黑体" w:eastAsia="黑体"/>
          <w:b/>
          <w:sz w:val="32"/>
          <w:szCs w:val="32"/>
        </w:rPr>
      </w:pPr>
      <w:bookmarkStart w:id="3" w:name="YS060102"/>
      <w:r>
        <w:rPr>
          <w:rFonts w:hint="eastAsia" w:ascii="黑体" w:hAnsi="黑体" w:eastAsia="黑体"/>
          <w:b/>
          <w:sz w:val="32"/>
          <w:szCs w:val="32"/>
        </w:rPr>
        <w:t>二、一般公共预算收支情况</w:t>
      </w:r>
    </w:p>
    <w:bookmarkEnd w:id="3"/>
    <w:p>
      <w:pPr>
        <w:snapToGrid w:val="0"/>
        <w:spacing w:line="520" w:lineRule="exact"/>
        <w:ind w:firstLine="640" w:firstLineChars="200"/>
        <w:rPr>
          <w:rFonts w:hint="eastAsia" w:ascii="黑体" w:hAnsi="黑体" w:eastAsia="黑体"/>
          <w:b/>
          <w:sz w:val="32"/>
          <w:szCs w:val="32"/>
        </w:rPr>
      </w:pPr>
      <w:r>
        <w:rPr>
          <w:rFonts w:hint="eastAsia" w:ascii="黑体" w:hAnsi="黑体" w:eastAsia="黑体"/>
          <w:b/>
          <w:sz w:val="32"/>
          <w:szCs w:val="32"/>
        </w:rPr>
        <w:t>（一）收入支出预算安排情况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2021年单位本年财政拨款年初预算收入6,459,500元,本年预算调整增加财政拨款收入610,700元，为“特色食用菌产业优质增效技术研究与示范”项目9,700元，自然科学基金3个课题151,000元，“基础平台维修”项目100,000元，“食用菌种质资源调查”项目200,000元,“黑皮鸡枞等级规格”项目50,000元 ，“办公设备购置”100,000元。预算调整增加其他收入538,959.68元。调整后本年收入预算合计7,609,159.68元，其中财政拨款收入7,070,200元，其他收入538,959.68元。</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2021年单位本年支出年初预算合计8,365,894.94元，其中基本支出—人员经费4,642,000元，基本支出—日常公用经费1,269,211.75元，项目支出2,454,683.19元；本年预算调整增加支出1,190,570.46元,具体包括增加基本支出—人员经费582,348.83 元，增加基本支出—日常公用经费165,763.72 元，增加项目支出442,457.91 元；调整后本年支出预算合计为9,556,465.4元。</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收入支出与预算对比分析</w:t>
      </w:r>
    </w:p>
    <w:tbl>
      <w:tblPr>
        <w:tblStyle w:val="5"/>
        <w:tblW w:w="5000" w:type="pct"/>
        <w:tblInd w:w="0" w:type="dxa"/>
        <w:tblLayout w:type="autofit"/>
        <w:tblCellMar>
          <w:top w:w="0" w:type="dxa"/>
          <w:left w:w="108" w:type="dxa"/>
          <w:bottom w:w="0" w:type="dxa"/>
          <w:right w:w="108" w:type="dxa"/>
        </w:tblCellMar>
      </w:tblPr>
      <w:tblGrid>
        <w:gridCol w:w="2267"/>
        <w:gridCol w:w="2083"/>
        <w:gridCol w:w="2139"/>
        <w:gridCol w:w="1978"/>
        <w:gridCol w:w="2215"/>
      </w:tblGrid>
      <w:tr>
        <w:tblPrEx>
          <w:tblCellMar>
            <w:top w:w="0" w:type="dxa"/>
            <w:left w:w="108" w:type="dxa"/>
            <w:bottom w:w="0" w:type="dxa"/>
            <w:right w:w="108" w:type="dxa"/>
          </w:tblCellMar>
        </w:tblPrEx>
        <w:trPr>
          <w:trHeight w:val="284" w:hRule="atLeast"/>
        </w:trPr>
        <w:tc>
          <w:tcPr>
            <w:tcW w:w="5000" w:type="pct"/>
            <w:gridSpan w:val="5"/>
            <w:tcBorders>
              <w:top w:val="nil"/>
              <w:left w:val="nil"/>
              <w:bottom w:val="nil"/>
              <w:right w:val="nil"/>
            </w:tcBorders>
            <w:noWrap/>
            <w:vAlign w:val="center"/>
          </w:tcPr>
          <w:p>
            <w:pPr>
              <w:widowControl/>
              <w:jc w:val="center"/>
              <w:rPr>
                <w:rFonts w:ascii="宋体" w:hAnsi="宋体" w:cs="宋体"/>
                <w:color w:val="000000"/>
                <w:kern w:val="0"/>
                <w:sz w:val="28"/>
                <w:szCs w:val="28"/>
              </w:rPr>
            </w:pPr>
            <w:r>
              <w:rPr>
                <w:rFonts w:hint="eastAsia" w:ascii="宋体" w:hAnsi="宋体" w:cs="宋体"/>
                <w:color w:val="000000"/>
                <w:kern w:val="0"/>
                <w:sz w:val="28"/>
                <w:szCs w:val="28"/>
              </w:rPr>
              <w:t>2021年预、决算差异情况</w:t>
            </w:r>
          </w:p>
        </w:tc>
      </w:tr>
      <w:tr>
        <w:tblPrEx>
          <w:tblCellMar>
            <w:top w:w="0" w:type="dxa"/>
            <w:left w:w="108" w:type="dxa"/>
            <w:bottom w:w="0" w:type="dxa"/>
            <w:right w:w="108" w:type="dxa"/>
          </w:tblCellMar>
        </w:tblPrEx>
        <w:trPr>
          <w:trHeight w:val="284" w:hRule="atLeast"/>
        </w:trPr>
        <w:tc>
          <w:tcPr>
            <w:tcW w:w="1061"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项目</w:t>
            </w:r>
          </w:p>
        </w:tc>
        <w:tc>
          <w:tcPr>
            <w:tcW w:w="975"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调整预算数(1)</w:t>
            </w:r>
          </w:p>
        </w:tc>
        <w:tc>
          <w:tcPr>
            <w:tcW w:w="1001" w:type="pct"/>
            <w:tcBorders>
              <w:top w:val="single" w:color="auto" w:sz="4" w:space="0"/>
              <w:left w:val="nil"/>
              <w:bottom w:val="single" w:color="auto" w:sz="4" w:space="0"/>
              <w:right w:val="single" w:color="auto" w:sz="4" w:space="0"/>
            </w:tcBorders>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决算数(2)</w:t>
            </w:r>
          </w:p>
        </w:tc>
        <w:tc>
          <w:tcPr>
            <w:tcW w:w="926" w:type="pct"/>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差异(3)=(1)-(2)</w:t>
            </w:r>
          </w:p>
        </w:tc>
        <w:tc>
          <w:tcPr>
            <w:tcW w:w="1034" w:type="pct"/>
            <w:tcBorders>
              <w:top w:val="single" w:color="auto" w:sz="4" w:space="0"/>
              <w:left w:val="nil"/>
              <w:bottom w:val="single" w:color="auto" w:sz="4" w:space="0"/>
              <w:right w:val="single" w:color="auto" w:sz="4" w:space="0"/>
            </w:tcBorders>
            <w:noWrap w:val="0"/>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差异率(4)=(3)/(1)</w:t>
            </w:r>
          </w:p>
        </w:tc>
      </w:tr>
      <w:tr>
        <w:tblPrEx>
          <w:tblCellMar>
            <w:top w:w="0" w:type="dxa"/>
            <w:left w:w="108" w:type="dxa"/>
            <w:bottom w:w="0" w:type="dxa"/>
            <w:right w:w="108" w:type="dxa"/>
          </w:tblCellMar>
        </w:tblPrEx>
        <w:trPr>
          <w:trHeight w:val="284" w:hRule="atLeast"/>
        </w:trPr>
        <w:tc>
          <w:tcPr>
            <w:tcW w:w="1061"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一、财政拨款收入</w:t>
            </w:r>
          </w:p>
        </w:tc>
        <w:tc>
          <w:tcPr>
            <w:tcW w:w="975" w:type="pct"/>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t>7</w:t>
            </w:r>
            <w:r>
              <w:rPr>
                <w:rFonts w:hint="eastAsia" w:ascii="宋体" w:hAnsi="宋体" w:cs="宋体"/>
                <w:color w:val="000000"/>
                <w:kern w:val="0"/>
                <w:sz w:val="22"/>
                <w:szCs w:val="22"/>
              </w:rPr>
              <w:t>,</w:t>
            </w:r>
            <w:r>
              <w:rPr>
                <w:rFonts w:ascii="宋体" w:hAnsi="宋体" w:cs="宋体"/>
                <w:color w:val="000000"/>
                <w:kern w:val="0"/>
                <w:sz w:val="22"/>
                <w:szCs w:val="22"/>
              </w:rPr>
              <w:t>070</w:t>
            </w:r>
            <w:r>
              <w:rPr>
                <w:rFonts w:hint="eastAsia" w:ascii="宋体" w:hAnsi="宋体" w:cs="宋体"/>
                <w:color w:val="000000"/>
                <w:kern w:val="0"/>
                <w:sz w:val="22"/>
                <w:szCs w:val="22"/>
              </w:rPr>
              <w:t>,</w:t>
            </w:r>
            <w:r>
              <w:rPr>
                <w:rFonts w:ascii="宋体" w:hAnsi="宋体" w:cs="宋体"/>
                <w:color w:val="000000"/>
                <w:kern w:val="0"/>
                <w:sz w:val="22"/>
                <w:szCs w:val="22"/>
              </w:rPr>
              <w:t>200</w:t>
            </w:r>
          </w:p>
        </w:tc>
        <w:tc>
          <w:tcPr>
            <w:tcW w:w="1001" w:type="pct"/>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t>7</w:t>
            </w:r>
            <w:r>
              <w:rPr>
                <w:rFonts w:hint="eastAsia" w:ascii="宋体" w:hAnsi="宋体" w:cs="宋体"/>
                <w:color w:val="000000"/>
                <w:kern w:val="0"/>
                <w:sz w:val="22"/>
                <w:szCs w:val="22"/>
              </w:rPr>
              <w:t>,</w:t>
            </w:r>
            <w:r>
              <w:rPr>
                <w:rFonts w:ascii="宋体" w:hAnsi="宋体" w:cs="宋体"/>
                <w:color w:val="000000"/>
                <w:kern w:val="0"/>
                <w:sz w:val="22"/>
                <w:szCs w:val="22"/>
              </w:rPr>
              <w:t>070</w:t>
            </w:r>
            <w:r>
              <w:rPr>
                <w:rFonts w:hint="eastAsia" w:ascii="宋体" w:hAnsi="宋体" w:cs="宋体"/>
                <w:color w:val="000000"/>
                <w:kern w:val="0"/>
                <w:sz w:val="22"/>
                <w:szCs w:val="22"/>
              </w:rPr>
              <w:t>,</w:t>
            </w:r>
            <w:r>
              <w:rPr>
                <w:rFonts w:ascii="宋体" w:hAnsi="宋体" w:cs="宋体"/>
                <w:color w:val="000000"/>
                <w:kern w:val="0"/>
                <w:sz w:val="22"/>
                <w:szCs w:val="22"/>
              </w:rPr>
              <w:t>200</w:t>
            </w:r>
          </w:p>
        </w:tc>
        <w:tc>
          <w:tcPr>
            <w:tcW w:w="926"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0.00 </w:t>
            </w:r>
          </w:p>
        </w:tc>
        <w:tc>
          <w:tcPr>
            <w:tcW w:w="1034"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0.00%</w:t>
            </w:r>
          </w:p>
        </w:tc>
      </w:tr>
      <w:tr>
        <w:trPr>
          <w:trHeight w:val="284" w:hRule="atLeast"/>
        </w:trPr>
        <w:tc>
          <w:tcPr>
            <w:tcW w:w="1061"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二、其他收入</w:t>
            </w:r>
          </w:p>
        </w:tc>
        <w:tc>
          <w:tcPr>
            <w:tcW w:w="975"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t>538</w:t>
            </w:r>
            <w:r>
              <w:rPr>
                <w:rFonts w:hint="eastAsia" w:ascii="宋体" w:hAnsi="宋体" w:cs="宋体"/>
                <w:color w:val="000000"/>
                <w:kern w:val="0"/>
                <w:sz w:val="22"/>
                <w:szCs w:val="22"/>
              </w:rPr>
              <w:t>,</w:t>
            </w:r>
            <w:r>
              <w:rPr>
                <w:rFonts w:ascii="宋体" w:hAnsi="宋体" w:cs="宋体"/>
                <w:color w:val="000000"/>
                <w:kern w:val="0"/>
                <w:sz w:val="22"/>
                <w:szCs w:val="22"/>
              </w:rPr>
              <w:t>959.68</w:t>
            </w:r>
          </w:p>
        </w:tc>
        <w:tc>
          <w:tcPr>
            <w:tcW w:w="1001"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ascii="宋体" w:hAnsi="宋体" w:cs="宋体"/>
                <w:color w:val="000000"/>
                <w:kern w:val="0"/>
                <w:sz w:val="22"/>
                <w:szCs w:val="22"/>
              </w:rPr>
              <w:t>538</w:t>
            </w:r>
            <w:r>
              <w:rPr>
                <w:rFonts w:hint="eastAsia" w:ascii="宋体" w:hAnsi="宋体" w:cs="宋体"/>
                <w:color w:val="000000"/>
                <w:kern w:val="0"/>
                <w:sz w:val="22"/>
                <w:szCs w:val="22"/>
              </w:rPr>
              <w:t>,</w:t>
            </w:r>
            <w:r>
              <w:rPr>
                <w:rFonts w:ascii="宋体" w:hAnsi="宋体" w:cs="宋体"/>
                <w:color w:val="000000"/>
                <w:kern w:val="0"/>
                <w:sz w:val="22"/>
                <w:szCs w:val="22"/>
              </w:rPr>
              <w:t>959.68</w:t>
            </w:r>
          </w:p>
        </w:tc>
        <w:tc>
          <w:tcPr>
            <w:tcW w:w="926" w:type="pc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0.00 </w:t>
            </w:r>
          </w:p>
        </w:tc>
        <w:tc>
          <w:tcPr>
            <w:tcW w:w="1034" w:type="pct"/>
            <w:tcBorders>
              <w:top w:val="single" w:color="auto" w:sz="4" w:space="0"/>
              <w:left w:val="single" w:color="auto" w:sz="4" w:space="0"/>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0.00%</w:t>
            </w:r>
          </w:p>
        </w:tc>
      </w:tr>
      <w:tr>
        <w:tblPrEx>
          <w:tblCellMar>
            <w:top w:w="0" w:type="dxa"/>
            <w:left w:w="108" w:type="dxa"/>
            <w:bottom w:w="0" w:type="dxa"/>
            <w:right w:w="108" w:type="dxa"/>
          </w:tblCellMar>
        </w:tblPrEx>
        <w:trPr>
          <w:trHeight w:val="284" w:hRule="atLeast"/>
        </w:trPr>
        <w:tc>
          <w:tcPr>
            <w:tcW w:w="1061" w:type="pct"/>
            <w:tcBorders>
              <w:top w:val="single" w:color="auto" w:sz="4" w:space="0"/>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本年收入合计</w:t>
            </w:r>
          </w:p>
        </w:tc>
        <w:tc>
          <w:tcPr>
            <w:tcW w:w="975" w:type="pct"/>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7,609,159.68</w:t>
            </w:r>
          </w:p>
        </w:tc>
        <w:tc>
          <w:tcPr>
            <w:tcW w:w="1001" w:type="pct"/>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7,609,159.68</w:t>
            </w:r>
          </w:p>
        </w:tc>
        <w:tc>
          <w:tcPr>
            <w:tcW w:w="926" w:type="pct"/>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0.00 </w:t>
            </w:r>
          </w:p>
        </w:tc>
        <w:tc>
          <w:tcPr>
            <w:tcW w:w="1034" w:type="pct"/>
            <w:tcBorders>
              <w:top w:val="single" w:color="auto" w:sz="4" w:space="0"/>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0.00%</w:t>
            </w:r>
          </w:p>
        </w:tc>
      </w:tr>
      <w:tr>
        <w:tblPrEx>
          <w:tblCellMar>
            <w:top w:w="0" w:type="dxa"/>
            <w:left w:w="108" w:type="dxa"/>
            <w:bottom w:w="0" w:type="dxa"/>
            <w:right w:w="108" w:type="dxa"/>
          </w:tblCellMar>
        </w:tblPrEx>
        <w:trPr>
          <w:trHeight w:val="284" w:hRule="atLeast"/>
        </w:trPr>
        <w:tc>
          <w:tcPr>
            <w:tcW w:w="1061"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一、基本支出</w:t>
            </w:r>
          </w:p>
        </w:tc>
        <w:tc>
          <w:tcPr>
            <w:tcW w:w="975"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6,659,324.30</w:t>
            </w:r>
          </w:p>
        </w:tc>
        <w:tc>
          <w:tcPr>
            <w:tcW w:w="1001"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6,659,244.67</w:t>
            </w:r>
          </w:p>
        </w:tc>
        <w:tc>
          <w:tcPr>
            <w:tcW w:w="926"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79.63 </w:t>
            </w:r>
          </w:p>
        </w:tc>
        <w:tc>
          <w:tcPr>
            <w:tcW w:w="1034"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0.0012%</w:t>
            </w:r>
          </w:p>
        </w:tc>
      </w:tr>
      <w:tr>
        <w:tblPrEx>
          <w:tblCellMar>
            <w:top w:w="0" w:type="dxa"/>
            <w:left w:w="108" w:type="dxa"/>
            <w:bottom w:w="0" w:type="dxa"/>
            <w:right w:w="108" w:type="dxa"/>
          </w:tblCellMar>
        </w:tblPrEx>
        <w:trPr>
          <w:trHeight w:val="284" w:hRule="atLeast"/>
        </w:trPr>
        <w:tc>
          <w:tcPr>
            <w:tcW w:w="1061"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人员经费</w:t>
            </w:r>
          </w:p>
        </w:tc>
        <w:tc>
          <w:tcPr>
            <w:tcW w:w="975"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5,224,348.83</w:t>
            </w:r>
          </w:p>
        </w:tc>
        <w:tc>
          <w:tcPr>
            <w:tcW w:w="1001"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5,224,269.20</w:t>
            </w:r>
          </w:p>
        </w:tc>
        <w:tc>
          <w:tcPr>
            <w:tcW w:w="926"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79.63 </w:t>
            </w:r>
          </w:p>
        </w:tc>
        <w:tc>
          <w:tcPr>
            <w:tcW w:w="1034"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0.0015%</w:t>
            </w:r>
          </w:p>
        </w:tc>
      </w:tr>
      <w:tr>
        <w:trPr>
          <w:trHeight w:val="284" w:hRule="atLeast"/>
        </w:trPr>
        <w:tc>
          <w:tcPr>
            <w:tcW w:w="1061"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日常公用经费</w:t>
            </w:r>
          </w:p>
        </w:tc>
        <w:tc>
          <w:tcPr>
            <w:tcW w:w="975"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1,434,975.47</w:t>
            </w:r>
          </w:p>
        </w:tc>
        <w:tc>
          <w:tcPr>
            <w:tcW w:w="1001"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1,434,975.47</w:t>
            </w:r>
          </w:p>
        </w:tc>
        <w:tc>
          <w:tcPr>
            <w:tcW w:w="926"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0.00 </w:t>
            </w:r>
          </w:p>
        </w:tc>
        <w:tc>
          <w:tcPr>
            <w:tcW w:w="1034"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0.00%</w:t>
            </w:r>
          </w:p>
        </w:tc>
      </w:tr>
      <w:tr>
        <w:tblPrEx>
          <w:tblCellMar>
            <w:top w:w="0" w:type="dxa"/>
            <w:left w:w="108" w:type="dxa"/>
            <w:bottom w:w="0" w:type="dxa"/>
            <w:right w:w="108" w:type="dxa"/>
          </w:tblCellMar>
        </w:tblPrEx>
        <w:trPr>
          <w:trHeight w:val="284" w:hRule="atLeast"/>
        </w:trPr>
        <w:tc>
          <w:tcPr>
            <w:tcW w:w="1061"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二、项目支出</w:t>
            </w:r>
          </w:p>
        </w:tc>
        <w:tc>
          <w:tcPr>
            <w:tcW w:w="975" w:type="pct"/>
            <w:tcBorders>
              <w:top w:val="nil"/>
              <w:left w:val="nil"/>
              <w:bottom w:val="single" w:color="auto" w:sz="4" w:space="0"/>
              <w:right w:val="single" w:color="auto" w:sz="4" w:space="0"/>
            </w:tcBorders>
            <w:noWrap/>
            <w:vAlign w:val="center"/>
          </w:tcPr>
          <w:p>
            <w:pPr>
              <w:widowControl/>
              <w:jc w:val="center"/>
              <w:rPr>
                <w:rFonts w:ascii="宋体" w:hAnsi="宋体" w:cs="宋体"/>
                <w:color w:val="000000"/>
                <w:kern w:val="0"/>
                <w:sz w:val="22"/>
                <w:szCs w:val="22"/>
              </w:rPr>
            </w:pPr>
            <w:r>
              <w:rPr>
                <w:rFonts w:hint="eastAsia" w:ascii="宋体" w:hAnsi="宋体" w:cs="宋体"/>
                <w:color w:val="000000"/>
                <w:kern w:val="0"/>
                <w:sz w:val="22"/>
                <w:szCs w:val="22"/>
              </w:rPr>
              <w:t>2,897,141.10</w:t>
            </w:r>
          </w:p>
        </w:tc>
        <w:tc>
          <w:tcPr>
            <w:tcW w:w="1001"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1,480,432.66</w:t>
            </w:r>
          </w:p>
        </w:tc>
        <w:tc>
          <w:tcPr>
            <w:tcW w:w="926"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1416708.44 </w:t>
            </w:r>
          </w:p>
        </w:tc>
        <w:tc>
          <w:tcPr>
            <w:tcW w:w="1034"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48.90%</w:t>
            </w:r>
          </w:p>
        </w:tc>
      </w:tr>
      <w:tr>
        <w:tblPrEx>
          <w:tblCellMar>
            <w:top w:w="0" w:type="dxa"/>
            <w:left w:w="108" w:type="dxa"/>
            <w:bottom w:w="0" w:type="dxa"/>
            <w:right w:w="108" w:type="dxa"/>
          </w:tblCellMar>
        </w:tblPrEx>
        <w:trPr>
          <w:trHeight w:val="284" w:hRule="atLeast"/>
        </w:trPr>
        <w:tc>
          <w:tcPr>
            <w:tcW w:w="1061" w:type="pct"/>
            <w:tcBorders>
              <w:top w:val="nil"/>
              <w:left w:val="single" w:color="auto" w:sz="4" w:space="0"/>
              <w:bottom w:val="single" w:color="auto" w:sz="4" w:space="0"/>
              <w:right w:val="single" w:color="auto" w:sz="4" w:space="0"/>
            </w:tcBorders>
            <w:noWrap/>
            <w:vAlign w:val="center"/>
          </w:tcPr>
          <w:p>
            <w:pPr>
              <w:widowControl/>
              <w:jc w:val="center"/>
              <w:rPr>
                <w:rFonts w:ascii="宋体" w:hAnsi="宋体" w:cs="宋体"/>
                <w:b/>
                <w:bCs/>
                <w:color w:val="000000"/>
                <w:kern w:val="0"/>
                <w:sz w:val="22"/>
                <w:szCs w:val="22"/>
              </w:rPr>
            </w:pPr>
            <w:r>
              <w:rPr>
                <w:rFonts w:hint="eastAsia" w:ascii="宋体" w:hAnsi="宋体" w:cs="宋体"/>
                <w:b/>
                <w:bCs/>
                <w:color w:val="000000"/>
                <w:kern w:val="0"/>
                <w:sz w:val="22"/>
                <w:szCs w:val="22"/>
              </w:rPr>
              <w:t>本年支出合计</w:t>
            </w:r>
          </w:p>
        </w:tc>
        <w:tc>
          <w:tcPr>
            <w:tcW w:w="975"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9,556,465.40</w:t>
            </w:r>
          </w:p>
        </w:tc>
        <w:tc>
          <w:tcPr>
            <w:tcW w:w="1001" w:type="pct"/>
            <w:tcBorders>
              <w:top w:val="nil"/>
              <w:left w:val="nil"/>
              <w:bottom w:val="single" w:color="auto" w:sz="4" w:space="0"/>
              <w:right w:val="single" w:color="auto" w:sz="4" w:space="0"/>
            </w:tcBorders>
            <w:noWrap/>
            <w:vAlign w:val="center"/>
          </w:tcPr>
          <w:p>
            <w:pPr>
              <w:jc w:val="right"/>
              <w:rPr>
                <w:rFonts w:ascii="宋体" w:hAnsi="宋体" w:cs="宋体"/>
                <w:color w:val="000000"/>
                <w:kern w:val="0"/>
                <w:sz w:val="22"/>
                <w:szCs w:val="22"/>
              </w:rPr>
            </w:pPr>
            <w:r>
              <w:rPr>
                <w:rFonts w:hint="eastAsia" w:ascii="宋体" w:hAnsi="宋体" w:cs="宋体"/>
                <w:color w:val="000000"/>
                <w:kern w:val="0"/>
                <w:sz w:val="22"/>
                <w:szCs w:val="22"/>
              </w:rPr>
              <w:t>8,139,677.33</w:t>
            </w:r>
          </w:p>
        </w:tc>
        <w:tc>
          <w:tcPr>
            <w:tcW w:w="926"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 xml:space="preserve">1416788.07 </w:t>
            </w:r>
          </w:p>
        </w:tc>
        <w:tc>
          <w:tcPr>
            <w:tcW w:w="1034" w:type="pct"/>
            <w:tcBorders>
              <w:top w:val="nil"/>
              <w:left w:val="nil"/>
              <w:bottom w:val="single" w:color="auto" w:sz="4" w:space="0"/>
              <w:right w:val="single" w:color="auto" w:sz="4" w:space="0"/>
            </w:tcBorders>
            <w:noWrap/>
            <w:vAlign w:val="center"/>
          </w:tcPr>
          <w:p>
            <w:pPr>
              <w:jc w:val="center"/>
              <w:rPr>
                <w:rFonts w:ascii="宋体" w:hAnsi="宋体" w:cs="宋体"/>
                <w:color w:val="000000"/>
                <w:kern w:val="0"/>
                <w:sz w:val="22"/>
                <w:szCs w:val="22"/>
              </w:rPr>
            </w:pPr>
            <w:r>
              <w:rPr>
                <w:rFonts w:hint="eastAsia" w:ascii="宋体" w:hAnsi="宋体" w:cs="宋体"/>
                <w:color w:val="000000"/>
                <w:kern w:val="0"/>
                <w:sz w:val="22"/>
                <w:szCs w:val="22"/>
              </w:rPr>
              <w:t>14.83%</w:t>
            </w:r>
          </w:p>
        </w:tc>
      </w:tr>
    </w:tbl>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形成差异的主要原因:中央引导地方项目—“珍稀食用菌科技创新基地建设”项目1,000,000元正在进行政府采购程序，该项目实施日期为2021年1月1日至2022年12月31日，本年度未到付款阶段，故未形成支出。其他项目按照科研项目实际进展形成支出，未用完资金结转下年使用。</w:t>
      </w:r>
    </w:p>
    <w:p>
      <w:pPr>
        <w:snapToGrid w:val="0"/>
        <w:spacing w:line="520" w:lineRule="exact"/>
        <w:ind w:firstLine="640" w:firstLineChars="200"/>
        <w:rPr>
          <w:rFonts w:hint="eastAsia" w:ascii="黑体" w:hAnsi="黑体" w:eastAsia="黑体"/>
          <w:b/>
          <w:sz w:val="32"/>
          <w:szCs w:val="32"/>
        </w:rPr>
      </w:pPr>
      <w:r>
        <w:rPr>
          <w:rFonts w:hint="eastAsia" w:ascii="黑体" w:hAnsi="黑体" w:eastAsia="黑体"/>
          <w:b/>
          <w:sz w:val="32"/>
          <w:szCs w:val="32"/>
        </w:rPr>
        <w:t xml:space="preserve">（二）基本支出情况 </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2021年全年基本支出6,659,244.67元。基本支出中，工资福利支出4,785,282.21元占基本支出的71.85%，商品服务支出1,363,860.47元占基本支出的20.48%。其中2021年我单位“三公”经费严格按照规定支出，公务接待费5,000元，较上年公务接待费0元，增加了5,000元，增幅100%，是因为2020年年中压缩一般性支出时将公务接待费预算指标压减至0，本年公务接待费预算为5,000元；公务用车运行维护费0元，单位无公车；2021年无因公出国（境）费用。对个人和家庭的补助438,986.99元占基本支出的6.6%,资本性支出71,115元占基本支出的1.07%。我单位严格按照年初预算目标将财政资金优先保障了人员经费。</w:t>
      </w:r>
    </w:p>
    <w:p>
      <w:pPr>
        <w:snapToGrid w:val="0"/>
        <w:spacing w:line="520" w:lineRule="exact"/>
        <w:ind w:firstLine="640" w:firstLineChars="200"/>
        <w:rPr>
          <w:rFonts w:hint="eastAsia" w:ascii="黑体" w:hAnsi="黑体" w:eastAsia="黑体"/>
          <w:b/>
          <w:sz w:val="32"/>
          <w:szCs w:val="32"/>
        </w:rPr>
      </w:pPr>
      <w:r>
        <w:rPr>
          <w:rFonts w:hint="eastAsia" w:ascii="黑体" w:hAnsi="黑体" w:eastAsia="黑体"/>
          <w:b/>
          <w:sz w:val="32"/>
          <w:szCs w:val="32"/>
        </w:rPr>
        <w:t>（三）项目支出情况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2021年单位取得的项目资金都严格按照要求，建立了《湖南省食用菌研究所科技专项经费管理办法》等多项内控制度，积极落实项目申报书的承诺，严格按项目合同组织项目实施，专项资金全部纳入单位财务统一核算和管理，实行专账核算、专款专用，切实提高资金使用效益，确保项目资金控制在预算之内。本年项目支出合计1,480,432.66元。其中，项目支出—工资福利支出89,770元为按照项目任务书及相关规定发放的科研项目绩效，占项目支出的6.06%。项目支出—商品和服务支出1,225,432.66元占项目总支出的82.77%，其中主要是差旅费166,752.35元、维修维护费290,800元、专用材料费194,033元、劳务费129,038.25元、委托业务费251,036元、其他商品和服务支出155,423.06元，分别占商品和服务支出的13.61%、23.73%、15.83%、10.53%、20.49%、12.68%（明细比例图如下）。项目支出—其他资本性支出165,230元占项目总支出的11.16%，为项目采购的实验室专用仪器设备和办公设备。</w:t>
      </w:r>
    </w:p>
    <w:p>
      <w:pPr>
        <w:ind w:firstLine="640" w:firstLineChars="200"/>
        <w:rPr>
          <w:rFonts w:hint="eastAsia" w:ascii="仿宋_GB2312" w:hAnsi="仿宋" w:eastAsia="仿宋_GB2312" w:cs="仿宋"/>
          <w:sz w:val="32"/>
          <w:szCs w:val="32"/>
        </w:rPr>
      </w:pPr>
      <w:r>
        <w:rPr>
          <w:rFonts w:ascii="仿宋_GB2312" w:hAnsi="仿宋" w:eastAsia="仿宋_GB2312" w:cs="仿宋"/>
          <w:sz w:val="32"/>
          <w:szCs w:val="32"/>
        </w:rPr>
        <w:drawing>
          <wp:inline distT="0" distB="0" distL="114300" distR="114300">
            <wp:extent cx="4867910" cy="2729865"/>
            <wp:effectExtent l="4445" t="4445" r="23495" b="889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pPr>
        <w:snapToGrid w:val="0"/>
        <w:ind w:firstLine="640" w:firstLineChars="200"/>
        <w:rPr>
          <w:rFonts w:hint="eastAsia" w:ascii="仿宋_GB2312" w:hAnsi="仿宋" w:eastAsia="仿宋_GB2312"/>
          <w:sz w:val="32"/>
          <w:szCs w:val="32"/>
        </w:rPr>
      </w:pPr>
    </w:p>
    <w:p>
      <w:pPr>
        <w:snapToGrid w:val="0"/>
        <w:spacing w:line="520" w:lineRule="exact"/>
        <w:ind w:firstLine="640" w:firstLineChars="200"/>
        <w:rPr>
          <w:rFonts w:hint="eastAsia" w:ascii="黑体" w:hAnsi="黑体" w:eastAsia="黑体" w:cs="黑体"/>
          <w:b/>
          <w:sz w:val="32"/>
          <w:szCs w:val="32"/>
        </w:rPr>
      </w:pPr>
      <w:r>
        <w:rPr>
          <w:rFonts w:hint="eastAsia" w:ascii="黑体" w:hAnsi="黑体" w:eastAsia="黑体" w:cs="黑体"/>
          <w:b/>
          <w:sz w:val="32"/>
          <w:szCs w:val="32"/>
        </w:rPr>
        <w:t>三、单位整体支出绩效情况</w:t>
      </w:r>
    </w:p>
    <w:p>
      <w:pPr>
        <w:widowControl/>
        <w:spacing w:line="600" w:lineRule="exact"/>
        <w:ind w:firstLine="640" w:firstLineChars="200"/>
        <w:jc w:val="left"/>
        <w:rPr>
          <w:rFonts w:hint="eastAsia" w:ascii="黑体" w:hAnsi="黑体" w:eastAsia="黑体" w:cs="黑体"/>
          <w:sz w:val="32"/>
          <w:szCs w:val="32"/>
        </w:rPr>
      </w:pPr>
      <w:r>
        <w:rPr>
          <w:rFonts w:hint="eastAsia" w:ascii="黑体" w:hAnsi="黑体" w:eastAsia="黑体" w:cs="黑体"/>
          <w:b/>
          <w:bCs/>
          <w:sz w:val="32"/>
          <w:szCs w:val="32"/>
        </w:rPr>
        <w:t>（一）单位年度整体目标</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1、抓牢党建工作，坚定“四个意识”、“四个自信”，做到“二个维护”，确保稳定，争创省级平安建设优秀单位；</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2、进一步强化全面预算管理、推进整体支出绩效评价工作（具体指标预算执行率≥90%，项目年度绩效考核参与率100%）；</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3、夯实基础科研、力争在重点研发项目实现新的突破（继续做好三个自科基金项目，完成三个自科项目项目年度指标任务；完成一个在研重点研发项目验收通过，继续做好另一个重点研发项目的年度工作）；</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4、利用自身科研技术优势，为我省科技兴农和乡村振兴贡献力量（继续向基地县派出科技特派员，搞好技术服务，根据省委省政府需要，派出乡村振兴帮扶工作队员）。</w:t>
      </w:r>
    </w:p>
    <w:p>
      <w:pPr>
        <w:widowControl/>
        <w:spacing w:line="600" w:lineRule="exact"/>
        <w:ind w:firstLine="640" w:firstLineChars="200"/>
        <w:jc w:val="left"/>
        <w:rPr>
          <w:rFonts w:hint="eastAsia" w:ascii="黑体" w:hAnsi="黑体" w:eastAsia="黑体" w:cs="黑体"/>
          <w:sz w:val="32"/>
          <w:szCs w:val="32"/>
        </w:rPr>
      </w:pPr>
      <w:r>
        <w:rPr>
          <w:rFonts w:hint="eastAsia" w:ascii="黑体" w:hAnsi="黑体" w:eastAsia="黑体" w:cs="黑体"/>
          <w:b/>
          <w:bCs/>
          <w:sz w:val="32"/>
          <w:szCs w:val="32"/>
        </w:rPr>
        <w:t>（二）年度整体目标完成情况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1、切实履行了党总支责任，主抓支部五化建设，单位2名同志被主管单位评为优秀党务工作者，另有1名同志被主管单位评为优秀党员，单位获省级平安建设优秀单位；</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2、全年预算执行率85.17%，所有项目全部纳入绩效考核；</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3、三个自科基金项目全部完成年度考核目标，其中2个通过验收；新增一个中央引导地方项目；完成了一个省重点研发项目验收结题，另一个省重点研发项目下一年度可结题验收；</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4、派出驻怀化溆浦乡村振兴帮扶队员1名，并被省委组织部年度考核为“优秀”等次，派出的科技特派员受到服务对象广泛好评，其中1名同志被省委人才工作领导小组办公室评为“湖南省优秀科技特派员”，另一名同志被省农科院授予“科技兴农奖”。</w:t>
      </w:r>
    </w:p>
    <w:p>
      <w:pPr>
        <w:snapToGrid w:val="0"/>
        <w:spacing w:line="520" w:lineRule="exact"/>
        <w:ind w:firstLine="640" w:firstLineChars="200"/>
        <w:rPr>
          <w:rFonts w:hint="eastAsia" w:ascii="黑体" w:hAnsi="黑体" w:eastAsia="黑体" w:cs="黑体"/>
          <w:b/>
          <w:bCs/>
          <w:sz w:val="32"/>
          <w:szCs w:val="32"/>
        </w:rPr>
      </w:pPr>
      <w:r>
        <w:rPr>
          <w:rFonts w:hint="eastAsia" w:ascii="黑体" w:hAnsi="黑体" w:eastAsia="黑体" w:cs="黑体"/>
          <w:b/>
          <w:bCs/>
          <w:sz w:val="32"/>
          <w:szCs w:val="32"/>
        </w:rPr>
        <w:t>（三）当年科研事业主要具体绩效指标完成情况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1、科技立项大幅增长。2021年单位在研财政科研项目10个，争取财政科研经费150多万元。其中，新增中央引导地方项目1个，新增自科基金项目1个，在研省重点研发项目2个，在研自科基金项目2各，省农业地方标准项目3个，省微生物种质资源调查项目1各；企业横向科技技术项目3个。立项数目同比增加50.8%，科研经费同比增加114.5%。</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2、技术成果稳中有增。2021年单位承担的省重点研发项目“特色食用菌产业化优质增效技术研究与示范（2018NK2025）”以及我所参与的省重点研发项目“湖南优势种植业功能微生物种质资源挖掘、选育与应用（2019NK2192）”通过省级验收，成果居国内领先水平。其中，申报国内发明专利5个，研制地方标准4个，发表学术论文10篇（见刊），建设示范基地5个，采集、分离菌株100株，为我省千亿湘菌产业的发展提供了有力的科技支撑。</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3、成果转化成效初现。积极开展技术转移和成果转让，鼓励科研人员带成果与技术和企业对接，促进科技与经济深度融合。2021年，芦苇菇、球盖菇、黑皮鸡枞、羊肚菌、猪肚菇、杏鲍菇等10多个品种与配套技术落户生产企业，多项科技成果和发明专利被企业开发应用，成为企业转型升级和高质发展的新起点。累计在长沙、株洲、衡阳、及怀化等地辐射推广2000多亩，新增销售收入5000多万元，经济、社会及生态效益显著。</w:t>
      </w:r>
    </w:p>
    <w:p>
      <w:pPr>
        <w:snapToGrid w:val="0"/>
        <w:spacing w:line="520" w:lineRule="exact"/>
        <w:ind w:firstLine="640" w:firstLineChars="200"/>
        <w:rPr>
          <w:rFonts w:hint="eastAsia" w:ascii="黑体" w:hAnsi="黑体" w:eastAsia="黑体" w:cs="黑体"/>
          <w:b/>
          <w:bCs/>
          <w:sz w:val="32"/>
          <w:szCs w:val="32"/>
        </w:rPr>
      </w:pPr>
      <w:r>
        <w:rPr>
          <w:rFonts w:hint="eastAsia" w:ascii="黑体" w:hAnsi="黑体" w:eastAsia="黑体" w:cs="黑体"/>
          <w:b/>
          <w:bCs/>
          <w:sz w:val="32"/>
          <w:szCs w:val="32"/>
        </w:rPr>
        <w:t>（四）其他工作完成情况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省委省政府高度重视食用菌产业的发展，委托省供销合作总社牵头，组织省人大、政协的有关领导及我所的相关专家对食用菌产业进行调研，由我单位为主编制了《湖南省千亿食用菌产业高质量发展规划》和《湖南省千亿食用菌产业高质量发展五年行动方案》，明确了千亿“湘菌”发展目标。各级地方政府积极开展特色基地建设、龙头企业培育、生产装备升级和市场体系建设，以点带面，辐射推广，推动乡村振兴。</w:t>
      </w:r>
    </w:p>
    <w:p>
      <w:pPr>
        <w:snapToGrid w:val="0"/>
        <w:spacing w:line="520" w:lineRule="exact"/>
        <w:ind w:firstLine="640" w:firstLineChars="200"/>
        <w:rPr>
          <w:rFonts w:hint="eastAsia" w:ascii="黑体" w:hAnsi="黑体" w:eastAsia="黑体" w:cs="黑体"/>
          <w:b/>
          <w:sz w:val="32"/>
          <w:szCs w:val="32"/>
        </w:rPr>
      </w:pPr>
      <w:r>
        <w:rPr>
          <w:rFonts w:hint="eastAsia" w:ascii="黑体" w:hAnsi="黑体" w:eastAsia="黑体" w:cs="黑体"/>
          <w:b/>
          <w:sz w:val="32"/>
          <w:szCs w:val="32"/>
        </w:rPr>
        <w:t>四、存在的问题及原因分析</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年初工作目标制定时效性和精准性不够，预算刚性有待进一步加强，减少年中预算调整；科研项目绩效考核指标单一，尤其是产出质量指标和效果指标有待进一步完善，对科研项目适当增设定性指标，定性指标需合理制定等次标准，否则定性指标考核起来主观性大，增加了绩效考核难度。对基本支出和项目支出的结转结余率指标需分别考核，项目实施周期跨年的资金结转属于正常，不应影响预算整体执行率的考核。</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在给企业提供技术支撑时，单位的成果转化创收能力有待提升。</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由于单位关联合作单位--春华生物公司的破产清算，导致部分设备设施停用，影响固定资产利用率的考核。需加强单位固定资产管理。</w:t>
      </w:r>
    </w:p>
    <w:p>
      <w:pPr>
        <w:ind w:firstLine="640" w:firstLineChars="200"/>
        <w:rPr>
          <w:rFonts w:hint="eastAsia" w:ascii="黑体" w:hAnsi="黑体" w:eastAsia="黑体" w:cs="黑体"/>
          <w:b/>
          <w:bCs/>
          <w:sz w:val="32"/>
          <w:szCs w:val="32"/>
        </w:rPr>
      </w:pPr>
      <w:r>
        <w:rPr>
          <w:rFonts w:hint="eastAsia" w:ascii="黑体" w:hAnsi="黑体" w:eastAsia="黑体" w:cs="黑体"/>
          <w:b/>
          <w:bCs/>
          <w:sz w:val="32"/>
          <w:szCs w:val="32"/>
        </w:rPr>
        <w:t>五、下一步改进措施</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进一步提高认识，继续宣传动员全体干部职工重视全面绩效考核工作，树立全面绩效考核意识，单位需加强该项工作的领导，加强相关人员培训和培养。在年度工作中提前部署，提前研究。主管单位多组织绩效考核方面的培训，提高相关人员专业水平，逐步提高绩效考核结果在预算拨款和科研立项时的影响权重。</w:t>
      </w:r>
    </w:p>
    <w:p>
      <w:pPr>
        <w:ind w:firstLine="640" w:firstLineChars="200"/>
        <w:rPr>
          <w:rFonts w:hint="eastAsia" w:ascii="仿宋" w:hAnsi="仿宋" w:eastAsia="仿宋" w:cs="仿宋"/>
          <w:sz w:val="32"/>
          <w:szCs w:val="32"/>
        </w:rPr>
      </w:pPr>
      <w:r>
        <w:rPr>
          <w:rFonts w:hint="eastAsia" w:ascii="黑体" w:hAnsi="黑体" w:eastAsia="黑体" w:cs="黑体"/>
          <w:b/>
          <w:bCs/>
          <w:sz w:val="32"/>
          <w:szCs w:val="32"/>
        </w:rPr>
        <w:t>六、绩效自评结果拟应用和公开情况</w:t>
      </w:r>
    </w:p>
    <w:p>
      <w:pPr>
        <w:snapToGrid w:val="0"/>
        <w:spacing w:line="520" w:lineRule="exact"/>
        <w:ind w:firstLine="640" w:firstLineChars="200"/>
        <w:rPr>
          <w:rFonts w:hint="eastAsia" w:asciiTheme="minorEastAsia" w:hAnsiTheme="minorEastAsia" w:eastAsiaTheme="minorEastAsia" w:cstheme="minorEastAsia"/>
          <w:sz w:val="32"/>
          <w:szCs w:val="32"/>
        </w:rPr>
      </w:pPr>
      <w:r>
        <w:rPr>
          <w:rFonts w:hint="eastAsia" w:asciiTheme="minorEastAsia" w:hAnsiTheme="minorEastAsia" w:eastAsiaTheme="minorEastAsia" w:cstheme="minorEastAsia"/>
          <w:sz w:val="32"/>
          <w:szCs w:val="32"/>
        </w:rPr>
        <w:t>我所将及时公示本次考核结果，并将本次考核结果作为本年度工作评先评优和下年度工作计划安排的主要参考。</w:t>
      </w:r>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华文中宋">
    <w:altName w:val="汉仪中宋简"/>
    <w:panose1 w:val="02010600040101010101"/>
    <w:charset w:val="86"/>
    <w:family w:val="auto"/>
    <w:pitch w:val="default"/>
    <w:sig w:usb0="00000000" w:usb1="00000000" w:usb2="00000000" w:usb3="00000000" w:csb0="0004009F" w:csb1="DFD70000"/>
  </w:font>
  <w:font w:name="方正小标宋_GBK">
    <w:panose1 w:val="02000000000000000000"/>
    <w:charset w:val="86"/>
    <w:family w:val="script"/>
    <w:pitch w:val="default"/>
    <w:sig w:usb0="00000001" w:usb1="08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汉仪中宋简">
    <w:panose1 w:val="02010600000101010101"/>
    <w:charset w:val="86"/>
    <w:family w:val="auto"/>
    <w:pitch w:val="default"/>
    <w:sig w:usb0="00000001" w:usb1="080E0800" w:usb2="00000002"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B779C"/>
    <w:multiLevelType w:val="singleLevel"/>
    <w:tmpl w:val="D37B779C"/>
    <w:lvl w:ilvl="0" w:tentative="0">
      <w:start w:val="6"/>
      <w:numFmt w:val="decimal"/>
      <w:suff w:val="nothing"/>
      <w:lvlText w:val="%1、"/>
      <w:lvlJc w:val="left"/>
    </w:lvl>
  </w:abstractNum>
  <w:abstractNum w:abstractNumId="1">
    <w:nsid w:val="0B1ACF3C"/>
    <w:multiLevelType w:val="singleLevel"/>
    <w:tmpl w:val="0B1ACF3C"/>
    <w:lvl w:ilvl="0" w:tentative="0">
      <w:start w:val="2"/>
      <w:numFmt w:val="chineseCounting"/>
      <w:suff w:val="nothing"/>
      <w:lvlText w:val="（%1）"/>
      <w:lvlJc w:val="left"/>
      <w:rPr>
        <w:rFonts w:hint="eastAsia"/>
      </w:r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2AF8E6B"/>
    <w:multiLevelType w:val="singleLevel"/>
    <w:tmpl w:val="52AF8E6B"/>
    <w:lvl w:ilvl="0" w:tentative="0">
      <w:start w:val="4"/>
      <w:numFmt w:val="decimal"/>
      <w:suff w:val="nothing"/>
      <w:lvlText w:val="%1、"/>
      <w:lvlJc w:val="left"/>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M5YzhmNjcxMGZkZTk5MWVhNDE4OGM0YWMzYmI3YjYifQ=="/>
  </w:docVars>
  <w:rsids>
    <w:rsidRoot w:val="004506F9"/>
    <w:rsid w:val="0002229B"/>
    <w:rsid w:val="000273BD"/>
    <w:rsid w:val="000415B7"/>
    <w:rsid w:val="00041E3F"/>
    <w:rsid w:val="00055DAA"/>
    <w:rsid w:val="00061F7B"/>
    <w:rsid w:val="000658A3"/>
    <w:rsid w:val="00074155"/>
    <w:rsid w:val="000873EF"/>
    <w:rsid w:val="000A3F69"/>
    <w:rsid w:val="00103957"/>
    <w:rsid w:val="00124A1F"/>
    <w:rsid w:val="00152C6D"/>
    <w:rsid w:val="00162D39"/>
    <w:rsid w:val="001678BD"/>
    <w:rsid w:val="00182373"/>
    <w:rsid w:val="001A67DB"/>
    <w:rsid w:val="001C3C29"/>
    <w:rsid w:val="001D51E5"/>
    <w:rsid w:val="001E080D"/>
    <w:rsid w:val="001E53D0"/>
    <w:rsid w:val="001F0C3B"/>
    <w:rsid w:val="00202C14"/>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C4197"/>
    <w:rsid w:val="003C47E6"/>
    <w:rsid w:val="003C4FC2"/>
    <w:rsid w:val="003E2331"/>
    <w:rsid w:val="00416E61"/>
    <w:rsid w:val="0042790C"/>
    <w:rsid w:val="004506F9"/>
    <w:rsid w:val="004717A2"/>
    <w:rsid w:val="00473DF3"/>
    <w:rsid w:val="00487911"/>
    <w:rsid w:val="00491741"/>
    <w:rsid w:val="004B0CEE"/>
    <w:rsid w:val="00500E5F"/>
    <w:rsid w:val="005122EF"/>
    <w:rsid w:val="0051441A"/>
    <w:rsid w:val="00517C33"/>
    <w:rsid w:val="00517D5F"/>
    <w:rsid w:val="00521AF2"/>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48B"/>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92E9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75489"/>
    <w:rsid w:val="00DD06FF"/>
    <w:rsid w:val="00DD5FE9"/>
    <w:rsid w:val="00E00C7A"/>
    <w:rsid w:val="00E209CF"/>
    <w:rsid w:val="00E37D6C"/>
    <w:rsid w:val="00E55B68"/>
    <w:rsid w:val="00E67BE6"/>
    <w:rsid w:val="00E8683C"/>
    <w:rsid w:val="00EA2B72"/>
    <w:rsid w:val="00F74360"/>
    <w:rsid w:val="00FB462F"/>
    <w:rsid w:val="00FE16FA"/>
    <w:rsid w:val="00FE328A"/>
    <w:rsid w:val="00FE6269"/>
    <w:rsid w:val="00FF5CD6"/>
    <w:rsid w:val="01141B57"/>
    <w:rsid w:val="044F4AF1"/>
    <w:rsid w:val="069B5E85"/>
    <w:rsid w:val="06B807E5"/>
    <w:rsid w:val="074309F6"/>
    <w:rsid w:val="078C30EF"/>
    <w:rsid w:val="08912C62"/>
    <w:rsid w:val="0A3F3433"/>
    <w:rsid w:val="0AAB31E8"/>
    <w:rsid w:val="0B0E1FDD"/>
    <w:rsid w:val="0DB25F8E"/>
    <w:rsid w:val="0DCE1B7A"/>
    <w:rsid w:val="0F6F01C1"/>
    <w:rsid w:val="0F9702F1"/>
    <w:rsid w:val="0FE228D2"/>
    <w:rsid w:val="10DB2954"/>
    <w:rsid w:val="12DF0227"/>
    <w:rsid w:val="130D1EB8"/>
    <w:rsid w:val="15E10D15"/>
    <w:rsid w:val="16D95195"/>
    <w:rsid w:val="173B60DE"/>
    <w:rsid w:val="19747A66"/>
    <w:rsid w:val="1A684E6E"/>
    <w:rsid w:val="1A7D2C10"/>
    <w:rsid w:val="1B92611D"/>
    <w:rsid w:val="1C793277"/>
    <w:rsid w:val="1CD56C34"/>
    <w:rsid w:val="1D2673DA"/>
    <w:rsid w:val="1D457131"/>
    <w:rsid w:val="1DCC3DC8"/>
    <w:rsid w:val="1F6D7D50"/>
    <w:rsid w:val="1FEB1241"/>
    <w:rsid w:val="200D1749"/>
    <w:rsid w:val="21CE54A8"/>
    <w:rsid w:val="21F47461"/>
    <w:rsid w:val="23AC3027"/>
    <w:rsid w:val="245C214C"/>
    <w:rsid w:val="26FE3B9A"/>
    <w:rsid w:val="275E4F95"/>
    <w:rsid w:val="27FA2A07"/>
    <w:rsid w:val="299A26BC"/>
    <w:rsid w:val="2C252032"/>
    <w:rsid w:val="2CFA088C"/>
    <w:rsid w:val="2D0B3147"/>
    <w:rsid w:val="2D2F7E73"/>
    <w:rsid w:val="2D7921CC"/>
    <w:rsid w:val="2E470321"/>
    <w:rsid w:val="3050367F"/>
    <w:rsid w:val="325E065B"/>
    <w:rsid w:val="32862761"/>
    <w:rsid w:val="32BE3C9D"/>
    <w:rsid w:val="32D90A30"/>
    <w:rsid w:val="34CE2DFE"/>
    <w:rsid w:val="36D55023"/>
    <w:rsid w:val="382B286C"/>
    <w:rsid w:val="38E46214"/>
    <w:rsid w:val="39C8598B"/>
    <w:rsid w:val="3AD42636"/>
    <w:rsid w:val="3B6A48E0"/>
    <w:rsid w:val="3D2B0124"/>
    <w:rsid w:val="3D557555"/>
    <w:rsid w:val="3D621347"/>
    <w:rsid w:val="3D726488"/>
    <w:rsid w:val="3E2D2900"/>
    <w:rsid w:val="3EC953A6"/>
    <w:rsid w:val="3EE3286B"/>
    <w:rsid w:val="3F4E170B"/>
    <w:rsid w:val="40D25E1F"/>
    <w:rsid w:val="435B7B56"/>
    <w:rsid w:val="43B75051"/>
    <w:rsid w:val="444C2BC0"/>
    <w:rsid w:val="4503162D"/>
    <w:rsid w:val="45D60FBA"/>
    <w:rsid w:val="482C0999"/>
    <w:rsid w:val="4941459E"/>
    <w:rsid w:val="49941F85"/>
    <w:rsid w:val="4B58515F"/>
    <w:rsid w:val="4BA83127"/>
    <w:rsid w:val="4D23612D"/>
    <w:rsid w:val="4EEF3F2B"/>
    <w:rsid w:val="50295F6E"/>
    <w:rsid w:val="50970E4A"/>
    <w:rsid w:val="52656880"/>
    <w:rsid w:val="52E33AC0"/>
    <w:rsid w:val="53250E30"/>
    <w:rsid w:val="53F43D5C"/>
    <w:rsid w:val="543F7B65"/>
    <w:rsid w:val="558A0D0B"/>
    <w:rsid w:val="577949F3"/>
    <w:rsid w:val="5A08623F"/>
    <w:rsid w:val="5B0F5500"/>
    <w:rsid w:val="5BAD078E"/>
    <w:rsid w:val="5C835DA4"/>
    <w:rsid w:val="61087E9F"/>
    <w:rsid w:val="61263989"/>
    <w:rsid w:val="64777812"/>
    <w:rsid w:val="648D1ADE"/>
    <w:rsid w:val="65E42461"/>
    <w:rsid w:val="677B6970"/>
    <w:rsid w:val="67EC296B"/>
    <w:rsid w:val="68D972AB"/>
    <w:rsid w:val="6A214B0E"/>
    <w:rsid w:val="6AB81497"/>
    <w:rsid w:val="6AFB1E97"/>
    <w:rsid w:val="6D0140C9"/>
    <w:rsid w:val="6D83187E"/>
    <w:rsid w:val="6DDC3DE9"/>
    <w:rsid w:val="6DF1132F"/>
    <w:rsid w:val="6E9F1326"/>
    <w:rsid w:val="6F453AD0"/>
    <w:rsid w:val="708244C1"/>
    <w:rsid w:val="70874E23"/>
    <w:rsid w:val="71854AF2"/>
    <w:rsid w:val="7238752D"/>
    <w:rsid w:val="729219EC"/>
    <w:rsid w:val="73D25AA4"/>
    <w:rsid w:val="741E4320"/>
    <w:rsid w:val="756B025C"/>
    <w:rsid w:val="75B528E9"/>
    <w:rsid w:val="77141E15"/>
    <w:rsid w:val="77363367"/>
    <w:rsid w:val="7AD1051F"/>
    <w:rsid w:val="7CFB57C7"/>
    <w:rsid w:val="7E4435EA"/>
    <w:rsid w:val="7F4F3A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99"/>
    <w:rPr>
      <w:sz w:val="18"/>
      <w:szCs w:val="18"/>
    </w:rPr>
  </w:style>
  <w:style w:type="character" w:customStyle="1" w:styleId="8">
    <w:name w:val="页脚 Char"/>
    <w:basedOn w:val="6"/>
    <w:link w:val="3"/>
    <w:qFormat/>
    <w:uiPriority w:val="99"/>
    <w:rPr>
      <w:sz w:val="18"/>
      <w:szCs w:val="18"/>
    </w:rPr>
  </w:style>
  <w:style w:type="paragraph" w:customStyle="1" w:styleId="9">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0">
    <w:name w:val="List Paragraph"/>
    <w:basedOn w:val="1"/>
    <w:qFormat/>
    <w:uiPriority w:val="34"/>
    <w:pPr>
      <w:ind w:firstLine="420" w:firstLineChars="200"/>
    </w:pPr>
  </w:style>
  <w:style w:type="character" w:customStyle="1" w:styleId="11">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chart" Target="charts/chart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C:\Users\lenovo\AppData\Roaming\Microsoft\Excel\&#26032;&#24314;%20Microsoft%20Excel%20&#24037;&#20316;&#34920;%20(version%202).xlsb"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r>
              <a:rPr lang="zh-CN" altLang="en-US" sz="1000" b="0" i="0" baseline="0"/>
              <a:t>项目支出</a:t>
            </a:r>
            <a:r>
              <a:rPr lang="en-US" altLang="zh-CN" sz="1000" b="0" i="0" baseline="0"/>
              <a:t>—</a:t>
            </a:r>
            <a:r>
              <a:rPr lang="zh-CN" altLang="en-US" sz="1000" b="0" i="0" baseline="0"/>
              <a:t>商品服务支出明细科目比例图</a:t>
            </a:r>
            <a:endParaRPr lang="zh-CN" altLang="en-US" sz="1000" b="0" i="0" baseline="0"/>
          </a:p>
        </c:rich>
      </c:tx>
      <c:layout/>
      <c:overlay val="false"/>
    </c:title>
    <c:autoTitleDeleted val="false"/>
    <c:plotArea>
      <c:layout/>
      <c:barChart>
        <c:barDir val="bar"/>
        <c:grouping val="clustered"/>
        <c:varyColors val="false"/>
        <c:ser>
          <c:idx val="0"/>
          <c:order val="0"/>
          <c:invertIfNegative val="false"/>
          <c:dLbls>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chemeClr val="tx1"/>
                    </a:solidFill>
                    <a:latin typeface="+mn-lt"/>
                    <a:ea typeface="+mn-ea"/>
                    <a:cs typeface="+mn-cs"/>
                  </a:defRPr>
                </a:pPr>
              </a:p>
            </c:txPr>
            <c:dLblPos val="outEnd"/>
            <c:showLegendKey val="true"/>
            <c:showVal val="true"/>
            <c:showCatName val="true"/>
            <c:showSerName val="true"/>
            <c:showPercent val="true"/>
            <c:showBubbleSize val="true"/>
            <c:showLeaderLines val="false"/>
            <c:extLst>
              <c:ext xmlns:c15="http://schemas.microsoft.com/office/drawing/2012/chart" uri="{CE6537A1-D6FC-4f65-9D91-7224C49458BB}">
                <c15:layout/>
                <c15:showLeaderLines val="false"/>
                <c15:leaderLines/>
              </c:ext>
            </c:extLst>
          </c:dLbls>
          <c:cat>
            <c:strRef>
              <c:f>Sheet1!$D$14:$L$14</c:f>
              <c:strCache>
                <c:ptCount val="9"/>
                <c:pt idx="0">
                  <c:v>印刷费</c:v>
                </c:pt>
                <c:pt idx="1">
                  <c:v>咨询费</c:v>
                </c:pt>
                <c:pt idx="2">
                  <c:v>差旅费</c:v>
                </c:pt>
                <c:pt idx="3">
                  <c:v>维修（护）费</c:v>
                </c:pt>
                <c:pt idx="4">
                  <c:v>会议费</c:v>
                </c:pt>
                <c:pt idx="5">
                  <c:v>专用材料费</c:v>
                </c:pt>
                <c:pt idx="6">
                  <c:v>劳务费</c:v>
                </c:pt>
                <c:pt idx="7">
                  <c:v>委托业务费</c:v>
                </c:pt>
                <c:pt idx="8">
                  <c:v>其他商品和服务支出</c:v>
                </c:pt>
              </c:strCache>
            </c:strRef>
          </c:cat>
          <c:val>
            <c:numRef>
              <c:f>Sheet1!$D$15:$L$15</c:f>
              <c:numCache>
                <c:formatCode>#,##0.00</c:formatCode>
                <c:ptCount val="9"/>
                <c:pt idx="0">
                  <c:v>5100</c:v>
                </c:pt>
                <c:pt idx="1">
                  <c:v>30550</c:v>
                </c:pt>
                <c:pt idx="2">
                  <c:v>166752.35</c:v>
                </c:pt>
                <c:pt idx="3">
                  <c:v>290800</c:v>
                </c:pt>
                <c:pt idx="4">
                  <c:v>2700</c:v>
                </c:pt>
                <c:pt idx="5">
                  <c:v>194033</c:v>
                </c:pt>
                <c:pt idx="6">
                  <c:v>129038.25</c:v>
                </c:pt>
                <c:pt idx="7">
                  <c:v>251036</c:v>
                </c:pt>
                <c:pt idx="8">
                  <c:v>155423.06</c:v>
                </c:pt>
              </c:numCache>
            </c:numRef>
          </c:val>
        </c:ser>
        <c:ser>
          <c:idx val="1"/>
          <c:order val="1"/>
          <c:invertIfNegative val="false"/>
          <c:dLbls>
            <c:spPr>
              <a:noFill/>
              <a:ln>
                <a:noFill/>
              </a:ln>
              <a:effectLst/>
            </c:spPr>
            <c:txPr>
              <a:bodyPr rot="0" spcFirstLastPara="0" vertOverflow="ellipsis" vert="horz" wrap="square" lIns="38100" tIns="19050" rIns="38100" bIns="19050" anchor="ctr" anchorCtr="true"/>
              <a:lstStyle/>
              <a:p>
                <a:pPr>
                  <a:defRPr lang="zh-CN" sz="800" b="0" i="0" u="none" strike="noStrike" kern="1200" baseline="0">
                    <a:solidFill>
                      <a:schemeClr val="tx1"/>
                    </a:solidFill>
                    <a:latin typeface="+mn-lt"/>
                    <a:ea typeface="+mn-ea"/>
                    <a:cs typeface="+mn-cs"/>
                  </a:defRPr>
                </a:pPr>
              </a:p>
            </c:txPr>
            <c:dLblPos val="outEnd"/>
            <c:showLegendKey val="true"/>
            <c:showVal val="true"/>
            <c:showCatName val="true"/>
            <c:showSerName val="true"/>
            <c:showPercent val="true"/>
            <c:showBubbleSize val="true"/>
            <c:showLeaderLines val="false"/>
            <c:extLst>
              <c:ext xmlns:c15="http://schemas.microsoft.com/office/drawing/2012/chart" uri="{CE6537A1-D6FC-4f65-9D91-7224C49458BB}">
                <c15:layout/>
                <c15:showLeaderLines val="false"/>
                <c15:leaderLines/>
              </c:ext>
            </c:extLst>
          </c:dLbls>
          <c:cat>
            <c:strRef>
              <c:f>Sheet1!$D$14:$L$14</c:f>
              <c:strCache>
                <c:ptCount val="9"/>
                <c:pt idx="0">
                  <c:v>印刷费</c:v>
                </c:pt>
                <c:pt idx="1">
                  <c:v>咨询费</c:v>
                </c:pt>
                <c:pt idx="2">
                  <c:v>差旅费</c:v>
                </c:pt>
                <c:pt idx="3">
                  <c:v>维修（护）费</c:v>
                </c:pt>
                <c:pt idx="4">
                  <c:v>会议费</c:v>
                </c:pt>
                <c:pt idx="5">
                  <c:v>专用材料费</c:v>
                </c:pt>
                <c:pt idx="6">
                  <c:v>劳务费</c:v>
                </c:pt>
                <c:pt idx="7">
                  <c:v>委托业务费</c:v>
                </c:pt>
                <c:pt idx="8">
                  <c:v>其他商品和服务支出</c:v>
                </c:pt>
              </c:strCache>
            </c:strRef>
          </c:cat>
          <c:val>
            <c:numRef>
              <c:f>Sheet1!$D$16:$L$16</c:f>
              <c:numCache>
                <c:formatCode>0.00%</c:formatCode>
                <c:ptCount val="9"/>
                <c:pt idx="0">
                  <c:v>0.00416179539396314</c:v>
                </c:pt>
                <c:pt idx="1">
                  <c:v>0.0249299704481518</c:v>
                </c:pt>
                <c:pt idx="2">
                  <c:v>0.136076306306378</c:v>
                </c:pt>
                <c:pt idx="3">
                  <c:v>0.237303941287153</c:v>
                </c:pt>
                <c:pt idx="4">
                  <c:v>0.00220330344386284</c:v>
                </c:pt>
                <c:pt idx="5">
                  <c:v>0.158338361897422</c:v>
                </c:pt>
                <c:pt idx="6">
                  <c:v>0.105300155783346</c:v>
                </c:pt>
                <c:pt idx="7">
                  <c:v>0.204854993827241</c:v>
                </c:pt>
                <c:pt idx="8">
                  <c:v>0.126831171612482</c:v>
                </c:pt>
              </c:numCache>
            </c:numRef>
          </c:val>
        </c:ser>
        <c:dLbls>
          <c:showLegendKey val="true"/>
          <c:showVal val="true"/>
          <c:showCatName val="true"/>
          <c:showSerName val="true"/>
          <c:showPercent val="true"/>
          <c:showBubbleSize val="true"/>
        </c:dLbls>
        <c:gapWidth val="150"/>
        <c:overlap val="-25"/>
        <c:axId val="196262528"/>
        <c:axId val="195010944"/>
      </c:barChart>
      <c:catAx>
        <c:axId val="196262528"/>
        <c:scaling>
          <c:orientation val="minMax"/>
        </c:scaling>
        <c:delete val="false"/>
        <c:axPos val="l"/>
        <c:numFmt formatCode="#,##0.00"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95010944"/>
        <c:crosses val="autoZero"/>
        <c:auto val="true"/>
        <c:lblAlgn val="ctr"/>
        <c:lblOffset val="100"/>
        <c:noMultiLvlLbl val="false"/>
      </c:catAx>
      <c:valAx>
        <c:axId val="195010944"/>
        <c:scaling>
          <c:orientation val="minMax"/>
        </c:scaling>
        <c:delete val="true"/>
        <c:axPos val="b"/>
        <c:numFmt formatCode="#,##0.00" sourceLinked="true"/>
        <c:majorTickMark val="none"/>
        <c:minorTickMark val="none"/>
        <c:tickLblPos val="nextTo"/>
        <c:txPr>
          <a:bodyPr rot="-60000000" spcFirstLastPara="0" vertOverflow="ellipsis" vert="horz" wrap="square" anchor="ctr" anchorCtr="true"/>
          <a:lstStyle/>
          <a:p>
            <a:pPr>
              <a:defRPr lang="zh-CN" sz="1000" b="0" i="0" u="none" strike="noStrike" kern="1200" baseline="0">
                <a:solidFill>
                  <a:schemeClr val="tx1"/>
                </a:solidFill>
                <a:latin typeface="+mn-lt"/>
                <a:ea typeface="+mn-ea"/>
                <a:cs typeface="+mn-cs"/>
              </a:defRPr>
            </a:pPr>
          </a:p>
        </c:txPr>
        <c:crossAx val="196262528"/>
        <c:crosses val="autoZero"/>
        <c:crossBetween val="between"/>
      </c:valAx>
    </c:plotArea>
    <c:plotVisOnly val="true"/>
    <c:dispBlanksAs val="gap"/>
    <c:showDLblsOverMax val="false"/>
  </c:chart>
  <c:txPr>
    <a:bodyPr/>
    <a:lstStyle/>
    <a:p>
      <a:pPr>
        <a:defRPr lang="zh-CN"/>
      </a:pPr>
    </a:p>
  </c:txPr>
  <c:externalData r:id="rId1">
    <c:autoUpdate val="false"/>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32</Pages>
  <Words>10440</Words>
  <Characters>13379</Characters>
  <Lines>69</Lines>
  <Paragraphs>19</Paragraphs>
  <TotalTime>2</TotalTime>
  <ScaleCrop>false</ScaleCrop>
  <LinksUpToDate>false</LinksUpToDate>
  <CharactersWithSpaces>14661</CharactersWithSpaces>
  <Application>WPS Office_11.8.2.10195_F1E327BC-269C-435d-A152-05C5408002CA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2020-07-02T10:32:00Z</dcterms:created>
  <dc:creator>李航 null</dc:creator>
  <cp:lastModifiedBy>kylin</cp:lastModifiedBy>
  <cp:lastPrinted>2022-07-27T20:55:00Z</cp:lastPrinted>
  <dcterms:modified xsi:type="dcterms:W3CDTF">2023-09-26T13:38:03Z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2052-11.8.2.10195</vt:lpwstr>
  </property>
  <property fmtid="{D5CDD505-2E9C-101B-9397-08002B2CF9AE}" pid="3" name="ICV">
    <vt:lpwstr>53397D9143FC4114A6AA0AC04548B61E</vt:lpwstr>
  </property>
</Properties>
</file>